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心医院血细胞分离机设备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816995"/>
      <w:bookmarkStart w:id="5" w:name="_Toc202252033"/>
      <w:bookmarkStart w:id="6" w:name="_Toc202251699"/>
      <w:bookmarkStart w:id="7" w:name="_Toc202251074"/>
      <w:bookmarkStart w:id="8" w:name="_Toc202819877"/>
      <w:bookmarkStart w:id="9" w:name="_Toc20225410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血细胞分离机1台</w:t>
      </w:r>
      <w:bookmarkStart w:id="10" w:name="_GoBack"/>
      <w:bookmarkEnd w:id="10"/>
      <w:r>
        <w:rPr>
          <w:rFonts w:hint="eastAsia" w:ascii="宋体" w:hAnsi="宋体" w:cs="宋体"/>
          <w:bCs/>
          <w:sz w:val="24"/>
          <w:lang w:val="en-US" w:eastAsia="zh-CN"/>
        </w:rPr>
        <w:t>，用于临床治疗。</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2023-11-07T08:03:47Z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B14C4131AF5B4D6FA052345AB828C224_13</vt:lpwstr>
  </property>
</Properties>
</file>