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仿宋" w:hAnsi="仿宋" w:eastAsia="仿宋" w:cs="仿宋"/>
          <w:sz w:val="36"/>
          <w:szCs w:val="36"/>
        </w:rPr>
      </w:pPr>
      <w:r>
        <w:rPr>
          <w:rFonts w:hint="eastAsia" w:ascii="仿宋" w:hAnsi="仿宋" w:eastAsia="仿宋" w:cs="仿宋"/>
          <w:sz w:val="36"/>
          <w:szCs w:val="36"/>
        </w:rPr>
        <w:t>中山大学孙逸仙纪念医院深汕中心医院</w:t>
      </w:r>
    </w:p>
    <w:p>
      <w:pPr>
        <w:spacing w:line="220" w:lineRule="atLeast"/>
        <w:jc w:val="center"/>
        <w:rPr>
          <w:rFonts w:ascii="仿宋" w:hAnsi="仿宋" w:eastAsia="仿宋" w:cs="仿宋"/>
          <w:sz w:val="36"/>
          <w:szCs w:val="36"/>
        </w:rPr>
      </w:pPr>
      <w:r>
        <w:rPr>
          <w:rFonts w:hint="eastAsia" w:ascii="仿宋" w:hAnsi="仿宋" w:eastAsia="仿宋" w:cs="仿宋"/>
          <w:sz w:val="36"/>
          <w:szCs w:val="36"/>
        </w:rPr>
        <w:t>车辆维修定点服务招标公告</w:t>
      </w:r>
    </w:p>
    <w:p>
      <w:pPr>
        <w:spacing w:line="220" w:lineRule="atLeast"/>
        <w:rPr>
          <w:rFonts w:ascii="仿宋" w:hAnsi="仿宋" w:eastAsia="仿宋" w:cs="仿宋"/>
        </w:rPr>
      </w:pP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一、项目概况</w:t>
      </w:r>
    </w:p>
    <w:p>
      <w:pPr>
        <w:pStyle w:val="29"/>
        <w:spacing w:before="0" w:beforeAutospacing="0" w:after="0" w:afterAutospacing="0" w:line="420" w:lineRule="atLeast"/>
        <w:ind w:firstLine="560" w:firstLineChars="200"/>
        <w:textAlignment w:val="baseline"/>
        <w:rPr>
          <w:rFonts w:ascii="仿宋" w:hAnsi="仿宋" w:eastAsia="仿宋" w:cs="仿宋"/>
          <w:bCs/>
          <w:sz w:val="28"/>
          <w:szCs w:val="28"/>
        </w:rPr>
      </w:pPr>
      <w:r>
        <w:rPr>
          <w:rFonts w:hint="eastAsia" w:ascii="仿宋" w:hAnsi="仿宋" w:eastAsia="仿宋" w:cs="仿宋"/>
          <w:bCs/>
          <w:sz w:val="28"/>
          <w:szCs w:val="28"/>
        </w:rPr>
        <w:t>中山大学孙逸仙纪念医院深汕中心医院车辆维修定点服务现公开招募车辆维修定点服务供应商。项目服务时限为：</w:t>
      </w:r>
      <w:r>
        <w:rPr>
          <w:rFonts w:hint="eastAsia" w:ascii="仿宋" w:hAnsi="仿宋" w:eastAsia="仿宋" w:cs="仿宋"/>
          <w:bCs/>
          <w:sz w:val="28"/>
          <w:szCs w:val="28"/>
          <w:lang w:val="en-US" w:eastAsia="zh-CN"/>
        </w:rPr>
        <w:t>2年。</w:t>
      </w:r>
      <w:r>
        <w:rPr>
          <w:rFonts w:hint="eastAsia" w:ascii="仿宋" w:hAnsi="仿宋" w:eastAsia="仿宋" w:cs="仿宋"/>
          <w:bCs/>
          <w:sz w:val="28"/>
          <w:szCs w:val="28"/>
        </w:rPr>
        <w:t>项目最高限价为人民币198000元。</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二、投标人要求</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1.投标人经营范围须有机动车维修业务。</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2.投标人需在汕尾市具有维修场所，维修技术人员不少于10人。</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3.投标人需具备商务车、中巴、大巴、救护车等各类车辆维修经验。</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4.本项目不接受联合体投标。</w:t>
      </w:r>
    </w:p>
    <w:p>
      <w:pPr>
        <w:spacing w:line="220" w:lineRule="atLeast"/>
        <w:rPr>
          <w:rFonts w:ascii="仿宋" w:hAnsi="仿宋" w:eastAsia="仿宋" w:cs="仿宋"/>
          <w:sz w:val="28"/>
          <w:szCs w:val="28"/>
        </w:rPr>
      </w:pPr>
      <w:bookmarkStart w:id="0" w:name="_Hlk16004998"/>
      <w:r>
        <w:rPr>
          <w:rFonts w:hint="eastAsia" w:ascii="仿宋" w:hAnsi="仿宋" w:eastAsia="仿宋" w:cs="仿宋"/>
          <w:sz w:val="28"/>
          <w:szCs w:val="28"/>
        </w:rPr>
        <w:t>三、项目要求</w:t>
      </w:r>
    </w:p>
    <w:p>
      <w:pPr>
        <w:spacing w:line="220" w:lineRule="atLeast"/>
        <w:rPr>
          <w:rFonts w:ascii="仿宋" w:hAnsi="仿宋" w:eastAsia="仿宋" w:cs="仿宋"/>
          <w:b/>
          <w:bCs/>
          <w:sz w:val="28"/>
          <w:szCs w:val="28"/>
        </w:rPr>
      </w:pPr>
      <w:r>
        <w:rPr>
          <w:rFonts w:hint="eastAsia" w:ascii="仿宋" w:hAnsi="仿宋" w:eastAsia="仿宋" w:cs="仿宋"/>
          <w:b/>
          <w:bCs/>
          <w:sz w:val="28"/>
          <w:szCs w:val="28"/>
        </w:rPr>
        <w:t>（一）资质要求</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lang w:val="zh-CN"/>
        </w:rPr>
        <w:t>1.具备《政府采购法》第二十二条规定的条件,且提供以下证明文件：</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lang w:val="zh-CN"/>
        </w:rPr>
        <w:t>（1）在中华人民共和国境内注册的具有独立承担民事责任能力的法人或其他组织（提供营业执照等证明文件）；</w:t>
      </w:r>
    </w:p>
    <w:p>
      <w:pPr>
        <w:widowControl w:val="0"/>
        <w:adjustRightInd/>
        <w:snapToGrid/>
        <w:spacing w:line="360" w:lineRule="auto"/>
        <w:rPr>
          <w:rFonts w:ascii="仿宋" w:hAnsi="仿宋" w:eastAsia="仿宋" w:cs="仿宋"/>
          <w:bCs/>
          <w:sz w:val="28"/>
          <w:szCs w:val="28"/>
        </w:rPr>
      </w:pPr>
      <w:r>
        <w:rPr>
          <w:rFonts w:hint="eastAsia" w:ascii="仿宋" w:hAnsi="仿宋" w:eastAsia="仿宋" w:cs="仿宋"/>
          <w:bCs/>
          <w:sz w:val="28"/>
          <w:szCs w:val="28"/>
          <w:lang w:val="zh-CN"/>
        </w:rPr>
        <w:t>（</w:t>
      </w:r>
      <w:r>
        <w:rPr>
          <w:rFonts w:hint="eastAsia" w:ascii="仿宋" w:hAnsi="仿宋" w:eastAsia="仿宋" w:cs="仿宋"/>
          <w:bCs/>
          <w:sz w:val="28"/>
          <w:szCs w:val="28"/>
        </w:rPr>
        <w:t>2</w:t>
      </w:r>
      <w:r>
        <w:rPr>
          <w:rFonts w:hint="eastAsia" w:ascii="仿宋" w:hAnsi="仿宋" w:eastAsia="仿宋" w:cs="仿宋"/>
          <w:bCs/>
          <w:sz w:val="28"/>
          <w:szCs w:val="28"/>
          <w:lang w:val="zh-CN"/>
        </w:rPr>
        <w:t>）具有良好的商业信誉和健全的财务会计制度且有依法缴纳税收和社会保障资金的良好记录（须提供书面声明）</w:t>
      </w:r>
      <w:r>
        <w:rPr>
          <w:rFonts w:hint="eastAsia" w:ascii="仿宋" w:hAnsi="仿宋" w:eastAsia="仿宋" w:cs="仿宋"/>
          <w:bCs/>
          <w:sz w:val="28"/>
          <w:szCs w:val="28"/>
        </w:rPr>
        <w:t>；</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lang w:val="zh-CN"/>
        </w:rPr>
        <w:t>（</w:t>
      </w:r>
      <w:r>
        <w:rPr>
          <w:rFonts w:hint="eastAsia" w:ascii="仿宋" w:hAnsi="仿宋" w:eastAsia="仿宋" w:cs="仿宋"/>
          <w:bCs/>
          <w:sz w:val="28"/>
          <w:szCs w:val="28"/>
        </w:rPr>
        <w:t>3</w:t>
      </w:r>
      <w:r>
        <w:rPr>
          <w:rFonts w:hint="eastAsia" w:ascii="仿宋" w:hAnsi="仿宋" w:eastAsia="仿宋" w:cs="仿宋"/>
          <w:bCs/>
          <w:sz w:val="28"/>
          <w:szCs w:val="28"/>
          <w:lang w:val="zh-CN"/>
        </w:rPr>
        <w:t>）具有履行合同所必需的设备和专业技术能力（须提供书面声明）；</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lang w:val="zh-CN"/>
        </w:rPr>
        <w:t>（</w:t>
      </w:r>
      <w:r>
        <w:rPr>
          <w:rFonts w:hint="eastAsia" w:ascii="仿宋" w:hAnsi="仿宋" w:eastAsia="仿宋" w:cs="仿宋"/>
          <w:bCs/>
          <w:sz w:val="28"/>
          <w:szCs w:val="28"/>
        </w:rPr>
        <w:t>4</w:t>
      </w:r>
      <w:r>
        <w:rPr>
          <w:rFonts w:hint="eastAsia" w:ascii="仿宋" w:hAnsi="仿宋" w:eastAsia="仿宋" w:cs="仿宋"/>
          <w:bCs/>
          <w:sz w:val="28"/>
          <w:szCs w:val="28"/>
          <w:lang w:val="zh-CN"/>
        </w:rPr>
        <w:t>）参加报价活动前三年内在经营活动中没有重大违法记录（须提供书面声明）</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lang w:val="zh-CN"/>
        </w:rPr>
        <w:t>2. 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rPr>
        <w:t>3</w:t>
      </w:r>
      <w:r>
        <w:rPr>
          <w:rFonts w:hint="eastAsia" w:ascii="仿宋" w:hAnsi="仿宋" w:eastAsia="仿宋" w:cs="仿宋"/>
          <w:bCs/>
          <w:sz w:val="28"/>
          <w:szCs w:val="28"/>
          <w:lang w:val="zh-CN"/>
        </w:rPr>
        <w:t>.单位负责人为同一人或者存在直接控股、管理关系的不同供应商，不得参加同一包号投标或者未划分包号的同一采购项目投标。(供应商出具声明函)。</w:t>
      </w:r>
    </w:p>
    <w:p>
      <w:pPr>
        <w:widowControl w:val="0"/>
        <w:adjustRightInd/>
        <w:snapToGrid/>
        <w:spacing w:line="360" w:lineRule="auto"/>
      </w:pPr>
      <w:r>
        <w:rPr>
          <w:rFonts w:hint="eastAsia" w:ascii="仿宋" w:hAnsi="仿宋" w:eastAsia="仿宋" w:cs="仿宋"/>
          <w:bCs/>
          <w:sz w:val="28"/>
          <w:szCs w:val="28"/>
        </w:rPr>
        <w:t>4</w:t>
      </w:r>
      <w:r>
        <w:rPr>
          <w:rFonts w:hint="eastAsia" w:ascii="仿宋" w:hAnsi="仿宋" w:eastAsia="仿宋" w:cs="仿宋"/>
          <w:bCs/>
          <w:sz w:val="28"/>
          <w:szCs w:val="28"/>
          <w:lang w:val="zh-CN"/>
        </w:rPr>
        <w:t>.本项目不接受联合体投标。</w:t>
      </w:r>
    </w:p>
    <w:bookmarkEnd w:id="0"/>
    <w:p>
      <w:pPr>
        <w:spacing w:line="220" w:lineRule="atLeast"/>
        <w:rPr>
          <w:rFonts w:ascii="仿宋" w:hAnsi="仿宋" w:eastAsia="仿宋" w:cs="仿宋"/>
          <w:b/>
          <w:bCs/>
          <w:sz w:val="28"/>
          <w:szCs w:val="28"/>
        </w:rPr>
      </w:pPr>
      <w:r>
        <w:rPr>
          <w:rFonts w:hint="eastAsia" w:ascii="仿宋" w:hAnsi="仿宋" w:eastAsia="仿宋" w:cs="仿宋"/>
          <w:b/>
          <w:bCs/>
          <w:sz w:val="28"/>
          <w:szCs w:val="28"/>
        </w:rPr>
        <w:t>（二）质量要求</w:t>
      </w:r>
    </w:p>
    <w:p>
      <w:pPr>
        <w:spacing w:line="220" w:lineRule="atLeast"/>
        <w:rPr>
          <w:rFonts w:ascii="仿宋" w:hAnsi="仿宋" w:eastAsia="仿宋" w:cs="仿宋"/>
          <w:sz w:val="28"/>
          <w:szCs w:val="28"/>
        </w:rPr>
      </w:pPr>
      <w:r>
        <w:rPr>
          <w:rFonts w:hint="eastAsia" w:ascii="仿宋" w:hAnsi="仿宋" w:eastAsia="仿宋" w:cs="仿宋"/>
          <w:sz w:val="28"/>
          <w:szCs w:val="28"/>
        </w:rPr>
        <w:t>1.所采用的零部件、配件等材料必须符合国家或部颁标准和行业标准以及汽车维修相关标准。必须有合法的进货渠道，不得使用假冒伪劣产品或以次充好。经送修单位同意，可以用替代件或旧件的，定点维修企业必须在材料清单中加以注明，否则不得使用旧件。</w:t>
      </w:r>
    </w:p>
    <w:p>
      <w:pPr>
        <w:spacing w:line="220" w:lineRule="atLeas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被修车辆达不到规定的质量标准和技术要求的，返修不得再计价收费。车辆竣工出厂执行质量保证期制度，不能低于中华人民共和国交通部所颁布的《交通运输部关于修改机动车维修管理规定》的决定（交通运输部令2016年第37号）》的标准（投标人可对此提供更优的方案）。</w:t>
      </w:r>
    </w:p>
    <w:p>
      <w:pPr>
        <w:spacing w:line="220" w:lineRule="atLeast"/>
        <w:rPr>
          <w:rFonts w:ascii="仿宋" w:hAnsi="仿宋" w:eastAsia="仿宋" w:cs="仿宋"/>
          <w:sz w:val="28"/>
          <w:szCs w:val="28"/>
        </w:rPr>
      </w:pPr>
      <w:r>
        <w:rPr>
          <w:rFonts w:hint="eastAsia" w:ascii="仿宋" w:hAnsi="仿宋" w:eastAsia="仿宋" w:cs="仿宋"/>
          <w:sz w:val="28"/>
          <w:szCs w:val="28"/>
        </w:rPr>
        <w:t>3.责任保障期限及车辆质量保障按照国家有关部门颁发的最新标准执行。在质量保证期内，因维修质量造成的直接经济损失，由定点维修企业负责。</w:t>
      </w:r>
    </w:p>
    <w:p>
      <w:pPr>
        <w:spacing w:line="220" w:lineRule="atLeast"/>
        <w:rPr>
          <w:rFonts w:ascii="仿宋" w:hAnsi="仿宋" w:eastAsia="仿宋" w:cs="仿宋"/>
          <w:sz w:val="28"/>
          <w:szCs w:val="28"/>
        </w:rPr>
      </w:pPr>
      <w:r>
        <w:rPr>
          <w:rFonts w:hint="eastAsia" w:ascii="仿宋" w:hAnsi="仿宋" w:eastAsia="仿宋" w:cs="仿宋"/>
          <w:sz w:val="28"/>
          <w:szCs w:val="28"/>
        </w:rPr>
        <w:t>4.车辆返修率要控制在5％以内，并建立汽车维修档案，认真记录车辆维修情况。</w:t>
      </w:r>
    </w:p>
    <w:p>
      <w:pPr>
        <w:spacing w:line="220" w:lineRule="atLeast"/>
        <w:rPr>
          <w:rFonts w:ascii="仿宋" w:hAnsi="仿宋" w:eastAsia="仿宋" w:cs="仿宋"/>
          <w:sz w:val="28"/>
          <w:szCs w:val="28"/>
        </w:rPr>
      </w:pPr>
      <w:r>
        <w:rPr>
          <w:rFonts w:hint="eastAsia" w:ascii="仿宋" w:hAnsi="仿宋" w:eastAsia="仿宋" w:cs="仿宋"/>
          <w:sz w:val="28"/>
          <w:szCs w:val="28"/>
        </w:rPr>
        <w:t>5.所有维修车辆出厂时必须达到《机动车运行安全技术条件》GB7258-2012等国家安全技术标准及车辆维修标准。</w:t>
      </w:r>
    </w:p>
    <w:p>
      <w:pPr>
        <w:spacing w:line="220" w:lineRule="atLeast"/>
        <w:rPr>
          <w:rFonts w:ascii="仿宋" w:hAnsi="仿宋" w:eastAsia="仿宋" w:cs="仿宋"/>
          <w:b/>
          <w:bCs/>
          <w:sz w:val="28"/>
          <w:szCs w:val="28"/>
        </w:rPr>
      </w:pPr>
      <w:r>
        <w:rPr>
          <w:rFonts w:hint="eastAsia" w:ascii="仿宋" w:hAnsi="仿宋" w:eastAsia="仿宋" w:cs="仿宋"/>
          <w:b/>
          <w:bCs/>
          <w:sz w:val="28"/>
          <w:szCs w:val="28"/>
        </w:rPr>
        <w:t>（三）服务要求</w:t>
      </w:r>
    </w:p>
    <w:p>
      <w:pPr>
        <w:spacing w:line="220" w:lineRule="atLeast"/>
        <w:rPr>
          <w:rFonts w:ascii="仿宋" w:hAnsi="仿宋" w:eastAsia="仿宋" w:cs="仿宋"/>
          <w:sz w:val="28"/>
          <w:szCs w:val="28"/>
        </w:rPr>
      </w:pPr>
      <w:r>
        <w:rPr>
          <w:rFonts w:hint="eastAsia" w:ascii="仿宋" w:hAnsi="仿宋" w:eastAsia="仿宋" w:cs="仿宋"/>
          <w:sz w:val="28"/>
          <w:szCs w:val="28"/>
        </w:rPr>
        <w:t>1.定点维修企业必须严格遵守《中华人民共和国交通运输行业标准机动车维修服务规范》JT/T816-2011、《交通运输部关于修改机动车维修管理规定的决定（交通运输部令2016年第37号）》等相关规定。</w:t>
      </w:r>
    </w:p>
    <w:p>
      <w:pPr>
        <w:spacing w:line="220" w:lineRule="atLeast"/>
        <w:rPr>
          <w:rFonts w:ascii="仿宋" w:hAnsi="仿宋" w:eastAsia="仿宋" w:cs="仿宋"/>
          <w:sz w:val="28"/>
          <w:szCs w:val="28"/>
        </w:rPr>
      </w:pPr>
      <w:r>
        <w:rPr>
          <w:rFonts w:hint="eastAsia" w:ascii="仿宋" w:hAnsi="仿宋" w:eastAsia="仿宋" w:cs="仿宋"/>
          <w:sz w:val="28"/>
          <w:szCs w:val="28"/>
        </w:rPr>
        <w:t>2.场地及设施要求：①场地符合国家规定的标准要求，并且交通便利（或设有合理、明显的指示标志）；②修理车间布局合理、车间设施良好、修理工位标示明确；③企业各功能区标志清晰，企业资质证明、员工资格证明、营业时间要明确展示；④保留足够的停车场地和接待区，接待区要有满足客户登记和休息的设施；⑤设备要求符合GB/T16739.1-2004标准，并配备有车辆救援的专用设备及车辆。</w:t>
      </w:r>
    </w:p>
    <w:p>
      <w:pPr>
        <w:spacing w:line="220" w:lineRule="atLeast"/>
        <w:rPr>
          <w:rFonts w:ascii="仿宋" w:hAnsi="仿宋" w:eastAsia="仿宋" w:cs="仿宋"/>
          <w:sz w:val="28"/>
          <w:szCs w:val="28"/>
        </w:rPr>
      </w:pPr>
      <w:r>
        <w:rPr>
          <w:rFonts w:hint="eastAsia" w:ascii="仿宋" w:hAnsi="仿宋" w:eastAsia="仿宋" w:cs="仿宋"/>
          <w:sz w:val="28"/>
          <w:szCs w:val="28"/>
        </w:rPr>
        <w:t>3.经营要求：</w:t>
      </w:r>
    </w:p>
    <w:p>
      <w:pPr>
        <w:spacing w:line="220" w:lineRule="atLeast"/>
        <w:rPr>
          <w:rFonts w:ascii="仿宋" w:hAnsi="仿宋" w:eastAsia="仿宋" w:cs="仿宋"/>
          <w:sz w:val="28"/>
          <w:szCs w:val="28"/>
        </w:rPr>
      </w:pPr>
      <w:r>
        <w:rPr>
          <w:rFonts w:hint="eastAsia" w:ascii="仿宋" w:hAnsi="仿宋" w:eastAsia="仿宋" w:cs="仿宋"/>
          <w:sz w:val="28"/>
          <w:szCs w:val="28"/>
        </w:rPr>
        <w:t>①日常运作（接车、维修、交车、结算、投诉、索赔）要做到规范化、制度化，实行定人定岗，严格落实岗位责任制度，形成岗位责任追究制度，促进生产管理活动有秩序地进行。</w:t>
      </w:r>
    </w:p>
    <w:p>
      <w:pPr>
        <w:spacing w:line="220" w:lineRule="atLeast"/>
        <w:rPr>
          <w:rFonts w:ascii="仿宋" w:hAnsi="仿宋" w:eastAsia="仿宋" w:cs="仿宋"/>
          <w:sz w:val="28"/>
          <w:szCs w:val="28"/>
        </w:rPr>
      </w:pPr>
      <w:r>
        <w:rPr>
          <w:rFonts w:hint="eastAsia" w:ascii="仿宋" w:hAnsi="仿宋" w:eastAsia="仿宋" w:cs="仿宋"/>
          <w:sz w:val="28"/>
          <w:szCs w:val="28"/>
        </w:rPr>
        <w:t>②接受委托维修时，维修项目和维修费用（工时费和配件费）都必须由送修单位签名认可，定点维修企业在标价时，应编制维修项目明细表，确保送修单位对维修内容及其细节的知情权。</w:t>
      </w:r>
    </w:p>
    <w:p>
      <w:pPr>
        <w:spacing w:line="220" w:lineRule="atLeast"/>
        <w:rPr>
          <w:rFonts w:ascii="仿宋" w:hAnsi="仿宋" w:eastAsia="仿宋" w:cs="仿宋"/>
          <w:sz w:val="28"/>
          <w:szCs w:val="28"/>
        </w:rPr>
      </w:pPr>
      <w:r>
        <w:rPr>
          <w:rFonts w:hint="eastAsia" w:ascii="仿宋" w:hAnsi="仿宋" w:eastAsia="仿宋" w:cs="仿宋"/>
          <w:sz w:val="28"/>
          <w:szCs w:val="28"/>
        </w:rPr>
        <w:t>③严格按照交车时限来安排维修服务，不能在规定时限内交车的，要提前与送修单位联系，取得送修单位的谅解。</w:t>
      </w:r>
    </w:p>
    <w:p>
      <w:pPr>
        <w:spacing w:line="220" w:lineRule="atLeast"/>
        <w:rPr>
          <w:rFonts w:ascii="仿宋" w:hAnsi="仿宋" w:eastAsia="仿宋" w:cs="仿宋"/>
          <w:sz w:val="28"/>
          <w:szCs w:val="28"/>
        </w:rPr>
      </w:pPr>
      <w:r>
        <w:rPr>
          <w:rFonts w:hint="eastAsia" w:ascii="仿宋" w:hAnsi="仿宋" w:eastAsia="仿宋" w:cs="仿宋"/>
          <w:sz w:val="28"/>
          <w:szCs w:val="28"/>
        </w:rPr>
        <w:t>④检验人员必须在现场对车辆进行诊断，初步确定维修项目，并要充分征求送修单位的意见。</w:t>
      </w:r>
    </w:p>
    <w:p>
      <w:pPr>
        <w:spacing w:line="220" w:lineRule="atLeast"/>
        <w:rPr>
          <w:rFonts w:ascii="仿宋" w:hAnsi="仿宋" w:eastAsia="仿宋" w:cs="仿宋"/>
          <w:sz w:val="28"/>
          <w:szCs w:val="28"/>
        </w:rPr>
      </w:pPr>
      <w:r>
        <w:rPr>
          <w:rFonts w:hint="eastAsia" w:ascii="仿宋" w:hAnsi="仿宋" w:eastAsia="仿宋" w:cs="仿宋"/>
          <w:sz w:val="28"/>
          <w:szCs w:val="28"/>
        </w:rPr>
        <w:t>⑤工作单上没有的项目，在维修过程中发现某些项目是必须追加的，维修人员应立即告知调度或技术负责人，确认后，在维修前应事先通知送修单位，征得送修单位同意，方能增加费用开始施工，并同时要追加工作单或在原工作单上补项。</w:t>
      </w:r>
    </w:p>
    <w:p>
      <w:pPr>
        <w:spacing w:line="220" w:lineRule="atLeast"/>
        <w:rPr>
          <w:rFonts w:ascii="仿宋" w:hAnsi="仿宋" w:eastAsia="仿宋" w:cs="仿宋"/>
          <w:sz w:val="28"/>
          <w:szCs w:val="28"/>
        </w:rPr>
      </w:pPr>
      <w:r>
        <w:rPr>
          <w:rFonts w:hint="eastAsia" w:ascii="仿宋" w:hAnsi="仿宋" w:eastAsia="仿宋" w:cs="仿宋"/>
          <w:sz w:val="28"/>
          <w:szCs w:val="28"/>
        </w:rPr>
        <w:t>⑥维修人员更换配件时，应以旧件换取库房的新件，并向送修单位明确该新件是原厂件还是副厂件，同时旧件应交库房保存，车辆竣工出厂后，旧件应归还送修单位。</w:t>
      </w:r>
    </w:p>
    <w:p>
      <w:pPr>
        <w:spacing w:line="220" w:lineRule="atLeast"/>
        <w:rPr>
          <w:rFonts w:ascii="仿宋" w:hAnsi="仿宋" w:eastAsia="仿宋" w:cs="仿宋"/>
          <w:sz w:val="28"/>
          <w:szCs w:val="28"/>
        </w:rPr>
      </w:pPr>
      <w:r>
        <w:rPr>
          <w:rFonts w:hint="eastAsia" w:ascii="仿宋" w:hAnsi="仿宋" w:eastAsia="仿宋" w:cs="仿宋"/>
          <w:sz w:val="28"/>
          <w:szCs w:val="28"/>
        </w:rPr>
        <w:t>⑦汽车竣工出厂后，定点维修企业应建立送修单位档案（包括用户名称、地址、电话、联系人、车牌号、维修资料等），以便今后联系、调查和服务。</w:t>
      </w:r>
    </w:p>
    <w:p>
      <w:pPr>
        <w:spacing w:line="220" w:lineRule="atLeast"/>
        <w:rPr>
          <w:rFonts w:ascii="仿宋" w:hAnsi="仿宋" w:eastAsia="仿宋" w:cs="仿宋"/>
          <w:sz w:val="28"/>
          <w:szCs w:val="28"/>
        </w:rPr>
      </w:pPr>
      <w:r>
        <w:rPr>
          <w:rFonts w:hint="eastAsia" w:ascii="仿宋" w:hAnsi="仿宋" w:eastAsia="仿宋" w:cs="仿宋"/>
          <w:sz w:val="28"/>
          <w:szCs w:val="28"/>
        </w:rPr>
        <w:t>⑧汽车竣工出厂后，责任保障期限及车辆质量保障按照国家有关部门颁发的最新标准执行。</w:t>
      </w:r>
    </w:p>
    <w:p>
      <w:pPr>
        <w:spacing w:line="220" w:lineRule="atLeast"/>
        <w:rPr>
          <w:rFonts w:ascii="仿宋" w:hAnsi="仿宋" w:eastAsia="仿宋" w:cs="仿宋"/>
          <w:sz w:val="28"/>
          <w:szCs w:val="28"/>
        </w:rPr>
      </w:pPr>
      <w:r>
        <w:rPr>
          <w:rFonts w:hint="eastAsia" w:ascii="仿宋" w:hAnsi="仿宋" w:eastAsia="仿宋" w:cs="仿宋"/>
          <w:sz w:val="28"/>
          <w:szCs w:val="28"/>
        </w:rPr>
        <w:t>⑨在质量保证期内，因维修质量造成的车辆故障或损坏的，定点维修企业应负责及时返修，由于维修质量问题造成的车辆异常损坏或车辆机件事故的，由定点维修企业负责。</w:t>
      </w:r>
    </w:p>
    <w:p>
      <w:pPr>
        <w:spacing w:line="220" w:lineRule="atLeast"/>
        <w:rPr>
          <w:rFonts w:ascii="仿宋" w:hAnsi="仿宋" w:eastAsia="仿宋" w:cs="仿宋"/>
          <w:sz w:val="28"/>
          <w:szCs w:val="28"/>
        </w:rPr>
      </w:pPr>
      <w:r>
        <w:rPr>
          <w:rFonts w:hint="eastAsia" w:ascii="仿宋" w:hAnsi="仿宋" w:eastAsia="仿宋" w:cs="仿宋"/>
          <w:sz w:val="28"/>
          <w:szCs w:val="28"/>
        </w:rPr>
        <w:t>⑩定点维修企业不得以任何借口动用公务车，未经送修单位允许不得将车开出厂试车或作它用</w:t>
      </w:r>
    </w:p>
    <w:p>
      <w:pPr>
        <w:spacing w:line="220" w:lineRule="atLeast"/>
        <w:rPr>
          <w:rFonts w:ascii="仿宋" w:hAnsi="仿宋" w:eastAsia="仿宋" w:cs="仿宋"/>
          <w:sz w:val="28"/>
          <w:szCs w:val="28"/>
        </w:rPr>
      </w:pPr>
      <w:r>
        <w:rPr>
          <w:rFonts w:hint="eastAsia" w:ascii="仿宋" w:hAnsi="仿宋" w:eastAsia="仿宋" w:cs="仿宋"/>
          <w:sz w:val="28"/>
          <w:szCs w:val="28"/>
        </w:rPr>
        <w:t>⑪在汕尾市行政区域范围内免费提供24小时拖车服务。</w:t>
      </w:r>
    </w:p>
    <w:p>
      <w:pPr>
        <w:spacing w:line="220" w:lineRule="atLeast"/>
        <w:rPr>
          <w:rFonts w:ascii="仿宋" w:hAnsi="仿宋" w:eastAsia="仿宋" w:cs="仿宋"/>
          <w:sz w:val="28"/>
          <w:szCs w:val="28"/>
        </w:rPr>
      </w:pPr>
      <w:r>
        <w:rPr>
          <w:rFonts w:hint="eastAsia" w:ascii="仿宋" w:hAnsi="仿宋" w:eastAsia="仿宋" w:cs="仿宋"/>
          <w:sz w:val="28"/>
          <w:szCs w:val="28"/>
        </w:rPr>
        <w:t>⑫严格执行在投标文件中提出的服务承诺。</w:t>
      </w:r>
    </w:p>
    <w:p>
      <w:pPr>
        <w:spacing w:line="220" w:lineRule="atLeast"/>
        <w:rPr>
          <w:rFonts w:ascii="仿宋" w:hAnsi="仿宋" w:eastAsia="仿宋" w:cs="仿宋"/>
          <w:sz w:val="28"/>
          <w:szCs w:val="28"/>
        </w:rPr>
      </w:pPr>
      <w:r>
        <w:rPr>
          <w:rFonts w:hint="eastAsia" w:ascii="仿宋" w:hAnsi="仿宋" w:eastAsia="仿宋" w:cs="仿宋"/>
          <w:sz w:val="28"/>
          <w:szCs w:val="28"/>
        </w:rPr>
        <w:t>⑬必须服从有关部门的监督、管理，不得将送修单位的车辆转厂维修，不得代开发票收取开票费</w:t>
      </w:r>
    </w:p>
    <w:p>
      <w:pPr>
        <w:spacing w:line="220" w:lineRule="atLeast"/>
        <w:rPr>
          <w:rFonts w:ascii="仿宋" w:hAnsi="仿宋" w:eastAsia="仿宋" w:cs="仿宋"/>
          <w:b/>
          <w:bCs/>
          <w:sz w:val="28"/>
          <w:szCs w:val="28"/>
        </w:rPr>
      </w:pPr>
      <w:r>
        <w:rPr>
          <w:rFonts w:hint="eastAsia" w:ascii="仿宋" w:hAnsi="仿宋" w:eastAsia="仿宋" w:cs="仿宋"/>
          <w:b/>
          <w:bCs/>
          <w:sz w:val="28"/>
          <w:szCs w:val="28"/>
        </w:rPr>
        <w:t>（三）管理要求</w:t>
      </w:r>
    </w:p>
    <w:p>
      <w:pPr>
        <w:spacing w:line="220" w:lineRule="atLeast"/>
        <w:rPr>
          <w:rFonts w:ascii="仿宋" w:hAnsi="仿宋" w:eastAsia="仿宋" w:cs="仿宋"/>
          <w:sz w:val="28"/>
          <w:szCs w:val="28"/>
        </w:rPr>
      </w:pPr>
      <w:r>
        <w:rPr>
          <w:rFonts w:hint="eastAsia" w:ascii="仿宋" w:hAnsi="仿宋" w:eastAsia="仿宋" w:cs="仿宋"/>
          <w:sz w:val="28"/>
          <w:szCs w:val="28"/>
        </w:rPr>
        <w:t>1.定点维修企业的服务项目、服务收费、服务承诺等内容等应向送修单位公开，在业务接待室的显眼处公布企业的有关证照、汕尾市l/;</w:t>
      </w:r>
    </w:p>
    <w:p>
      <w:pPr>
        <w:spacing w:line="220" w:lineRule="atLeast"/>
        <w:rPr>
          <w:rFonts w:ascii="仿宋" w:hAnsi="仿宋" w:eastAsia="仿宋" w:cs="仿宋"/>
          <w:sz w:val="28"/>
          <w:szCs w:val="28"/>
        </w:rPr>
      </w:pPr>
      <w:r>
        <w:rPr>
          <w:rFonts w:hint="eastAsia" w:ascii="仿宋" w:hAnsi="仿宋" w:eastAsia="仿宋" w:cs="仿宋"/>
          <w:sz w:val="28"/>
          <w:szCs w:val="28"/>
        </w:rPr>
        <w:t>0-监督投诉电话。</w:t>
      </w:r>
    </w:p>
    <w:p>
      <w:pPr>
        <w:spacing w:line="220" w:lineRule="atLeast"/>
        <w:rPr>
          <w:rFonts w:ascii="仿宋" w:hAnsi="仿宋" w:eastAsia="仿宋" w:cs="仿宋"/>
          <w:sz w:val="28"/>
          <w:szCs w:val="28"/>
        </w:rPr>
      </w:pPr>
      <w:r>
        <w:rPr>
          <w:rFonts w:hint="eastAsia" w:ascii="仿宋" w:hAnsi="仿宋" w:eastAsia="仿宋" w:cs="仿宋"/>
          <w:sz w:val="28"/>
          <w:szCs w:val="28"/>
        </w:rPr>
        <w:t>2.维修管理制度、财务管理制度、岗位责任制度、质量控制制度健全、有效、合理。</w:t>
      </w:r>
    </w:p>
    <w:p>
      <w:pPr>
        <w:spacing w:line="220" w:lineRule="atLeast"/>
        <w:rPr>
          <w:rFonts w:ascii="仿宋" w:hAnsi="仿宋" w:eastAsia="仿宋" w:cs="仿宋"/>
          <w:sz w:val="28"/>
          <w:szCs w:val="28"/>
        </w:rPr>
      </w:pPr>
      <w:r>
        <w:rPr>
          <w:rFonts w:hint="eastAsia" w:ascii="仿宋" w:hAnsi="仿宋" w:eastAsia="仿宋" w:cs="仿宋"/>
          <w:sz w:val="28"/>
          <w:szCs w:val="28"/>
        </w:rPr>
        <w:t>3.流程环节清楚、合理、有序。</w:t>
      </w:r>
    </w:p>
    <w:p>
      <w:pPr>
        <w:spacing w:line="220" w:lineRule="atLeast"/>
        <w:rPr>
          <w:rFonts w:ascii="仿宋" w:hAnsi="仿宋" w:eastAsia="仿宋" w:cs="仿宋"/>
          <w:sz w:val="28"/>
          <w:szCs w:val="28"/>
        </w:rPr>
      </w:pPr>
      <w:r>
        <w:rPr>
          <w:rFonts w:hint="eastAsia" w:ascii="仿宋" w:hAnsi="仿宋" w:eastAsia="仿宋" w:cs="仿宋"/>
          <w:sz w:val="28"/>
          <w:szCs w:val="28"/>
        </w:rPr>
        <w:t>4.人员着装整洁、佩带标牌、能够提供文明、优质的服务。</w:t>
      </w:r>
    </w:p>
    <w:p>
      <w:pPr>
        <w:spacing w:line="220" w:lineRule="atLeast"/>
        <w:rPr>
          <w:rFonts w:ascii="仿宋" w:hAnsi="仿宋" w:eastAsia="仿宋" w:cs="仿宋"/>
          <w:sz w:val="28"/>
          <w:szCs w:val="28"/>
        </w:rPr>
      </w:pPr>
      <w:r>
        <w:rPr>
          <w:rFonts w:hint="eastAsia" w:ascii="仿宋" w:hAnsi="仿宋" w:eastAsia="仿宋" w:cs="仿宋"/>
          <w:sz w:val="28"/>
          <w:szCs w:val="28"/>
        </w:rPr>
        <w:t>5.有符合规定的出厂质检工序。</w:t>
      </w:r>
    </w:p>
    <w:p>
      <w:pPr>
        <w:spacing w:line="220" w:lineRule="atLeast"/>
        <w:rPr>
          <w:rFonts w:ascii="仿宋" w:hAnsi="仿宋" w:eastAsia="仿宋" w:cs="仿宋"/>
          <w:sz w:val="28"/>
          <w:szCs w:val="28"/>
        </w:rPr>
      </w:pPr>
      <w:r>
        <w:rPr>
          <w:rFonts w:hint="eastAsia" w:ascii="仿宋" w:hAnsi="仿宋" w:eastAsia="仿宋" w:cs="仿宋"/>
          <w:sz w:val="28"/>
          <w:szCs w:val="28"/>
        </w:rPr>
        <w:t>6.重要检测维修设备、操作规程实施有效，专人对设备的使用进行管理，保证状态良好。</w:t>
      </w:r>
    </w:p>
    <w:p>
      <w:pPr>
        <w:pStyle w:val="29"/>
        <w:spacing w:before="0" w:beforeAutospacing="0" w:after="0" w:afterAutospacing="0" w:line="420" w:lineRule="atLeast"/>
        <w:textAlignment w:val="baseline"/>
        <w:rPr>
          <w:rFonts w:ascii="仿宋" w:hAnsi="仿宋" w:eastAsia="仿宋" w:cs="仿宋"/>
          <w:b/>
          <w:sz w:val="28"/>
          <w:szCs w:val="28"/>
        </w:rPr>
      </w:pPr>
      <w:r>
        <w:rPr>
          <w:rFonts w:hint="eastAsia" w:ascii="仿宋" w:hAnsi="仿宋" w:eastAsia="仿宋" w:cs="仿宋"/>
          <w:b/>
          <w:sz w:val="28"/>
          <w:szCs w:val="28"/>
        </w:rPr>
        <w:t>（四）报价要求</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1.维修收费计价公式</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维修费总金额＝维修项目工时费＋维修材料费</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维修项目工时费＝维修项目工时费收费标准×（1-优惠率）</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维修材料费＝维修材料进货价×（1＋维修材料管理费率）</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2.报价要求</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①维修项目工时费优惠率</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（1）维修项目工时费＝维修项目工时费收费标准×（1-优惠率）。</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（2）投标人以《深汕中心医院公务车维修项目工时费明细表》（见本章附件二）为基准，报出维修项目工时费优惠率。</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（3）10％</w:t>
      </w:r>
      <w:r>
        <w:rPr>
          <w:rFonts w:hint="eastAsia" w:ascii="宋体" w:hAnsi="宋体" w:eastAsia="宋体" w:cs="宋体"/>
          <w:bCs/>
          <w:color w:val="auto"/>
          <w:sz w:val="28"/>
          <w:szCs w:val="28"/>
          <w:highlight w:val="none"/>
        </w:rPr>
        <w:t>≦</w:t>
      </w:r>
      <w:r>
        <w:rPr>
          <w:rFonts w:hint="eastAsia" w:ascii="仿宋" w:hAnsi="仿宋" w:eastAsia="仿宋" w:cs="仿宋"/>
          <w:bCs/>
          <w:sz w:val="28"/>
          <w:szCs w:val="28"/>
          <w:highlight w:val="none"/>
        </w:rPr>
        <w:t>维修项目工时费优惠率</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②维修材料管理费率</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（1）维修材料费＝维修材料进货价×（1＋维修材料管理费率）</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（2）维修材料管理费率是指材料实际购进价格和销售价格的差价与材料实际购进价格之比，送修单位按照“维修材料费＝维修材料进货价×（1＋维修材料管理费率）”与定点维修企业结算维修材料费。</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（3）维修材料管理费率</w:t>
      </w:r>
      <w:r>
        <w:rPr>
          <w:rFonts w:hint="eastAsia" w:ascii="宋体" w:hAnsi="宋体" w:eastAsia="宋体" w:cs="宋体"/>
          <w:bCs/>
          <w:color w:val="auto"/>
          <w:sz w:val="28"/>
          <w:szCs w:val="28"/>
          <w:highlight w:val="none"/>
        </w:rPr>
        <w:t>≦</w:t>
      </w:r>
      <w:r>
        <w:rPr>
          <w:rFonts w:hint="eastAsia" w:ascii="仿宋" w:hAnsi="仿宋" w:eastAsia="仿宋" w:cs="仿宋"/>
          <w:bCs/>
          <w:sz w:val="28"/>
          <w:szCs w:val="28"/>
          <w:highlight w:val="none"/>
        </w:rPr>
        <w:t>10％</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③维修项目工时费优惠率与维修材料管理费率必须为固定值（如10％），不得存在区间值（如8～10％），否则将被视为非实质性响应招标文件，按无效投标处理。</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highlight w:val="none"/>
        </w:rPr>
        <w:t>④在服务期限内，定点维修企业投标时所报的维修项目工时费优惠率和维修材料管理费率均为定点维修企业给予汕尾市公务车维修的</w:t>
      </w:r>
      <w:r>
        <w:rPr>
          <w:rFonts w:hint="eastAsia" w:ascii="仿宋" w:hAnsi="仿宋" w:eastAsia="仿宋" w:cs="仿宋"/>
          <w:bCs/>
          <w:sz w:val="28"/>
          <w:szCs w:val="28"/>
        </w:rPr>
        <w:t>最基本优惠，实际执行时，允许采购人向定点维修企业争取更多优惠。</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3.结算要求</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（1）如无相应标准的车型，结算时按相近的车型计算。</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（2）无响应标准的特殊结构作业项目以及在交通事故中损坏较严重的车辆，维修费用按保险公司或送修单位鉴定后进行结算。</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4.报价单格式</w:t>
      </w:r>
    </w:p>
    <w:tbl>
      <w:tblPr>
        <w:tblStyle w:val="33"/>
        <w:tblW w:w="796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850"/>
        <w:gridCol w:w="1560"/>
        <w:gridCol w:w="1701"/>
        <w:gridCol w:w="18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shd w:val="clear" w:color="auto" w:fill="auto"/>
            <w:vAlign w:val="center"/>
          </w:tcPr>
          <w:p>
            <w:pPr>
              <w:spacing w:before="100" w:beforeAutospacing="1" w:after="100" w:afterAutospacing="1" w:line="360" w:lineRule="exact"/>
              <w:jc w:val="center"/>
              <w:rPr>
                <w:rFonts w:ascii="仿宋" w:hAnsi="仿宋" w:eastAsia="仿宋" w:cs="仿宋"/>
                <w:bCs/>
                <w:sz w:val="28"/>
                <w:szCs w:val="28"/>
              </w:rPr>
            </w:pPr>
            <w:r>
              <w:rPr>
                <w:rFonts w:hint="eastAsia" w:ascii="仿宋" w:hAnsi="仿宋" w:eastAsia="仿宋" w:cs="仿宋"/>
                <w:bCs/>
                <w:sz w:val="28"/>
                <w:szCs w:val="28"/>
              </w:rPr>
              <w:t>投标单位</w:t>
            </w:r>
          </w:p>
        </w:tc>
        <w:tc>
          <w:tcPr>
            <w:tcW w:w="1560" w:type="dxa"/>
            <w:tcBorders>
              <w:top w:val="outset" w:color="auto" w:sz="6" w:space="0"/>
              <w:left w:val="outset" w:color="auto" w:sz="6" w:space="0"/>
              <w:bottom w:val="outset" w:color="auto" w:sz="6" w:space="0"/>
              <w:right w:val="outset" w:color="auto" w:sz="6" w:space="0"/>
            </w:tcBorders>
            <w:shd w:val="clear" w:color="auto" w:fill="auto"/>
            <w:vAlign w:val="center"/>
          </w:tcPr>
          <w:p>
            <w:pPr>
              <w:spacing w:before="100" w:beforeAutospacing="1" w:after="100" w:afterAutospacing="1" w:line="360" w:lineRule="exact"/>
              <w:jc w:val="center"/>
              <w:rPr>
                <w:rFonts w:ascii="仿宋" w:hAnsi="仿宋" w:eastAsia="仿宋" w:cs="仿宋"/>
                <w:bCs/>
                <w:sz w:val="28"/>
                <w:szCs w:val="28"/>
              </w:rPr>
            </w:pPr>
            <w:r>
              <w:rPr>
                <w:rFonts w:hint="eastAsia" w:ascii="仿宋" w:hAnsi="仿宋" w:eastAsia="仿宋" w:cs="仿宋"/>
                <w:bCs/>
                <w:sz w:val="28"/>
                <w:szCs w:val="28"/>
              </w:rPr>
              <w:t>维修项目工时费中标优惠率(%)</w:t>
            </w:r>
          </w:p>
        </w:tc>
        <w:tc>
          <w:tcPr>
            <w:tcW w:w="1701" w:type="dxa"/>
            <w:tcBorders>
              <w:top w:val="outset" w:color="auto" w:sz="6" w:space="0"/>
              <w:left w:val="outset" w:color="auto" w:sz="6" w:space="0"/>
              <w:bottom w:val="outset" w:color="auto" w:sz="6" w:space="0"/>
              <w:right w:val="outset" w:color="auto" w:sz="6" w:space="0"/>
            </w:tcBorders>
            <w:shd w:val="clear" w:color="auto" w:fill="auto"/>
            <w:vAlign w:val="center"/>
          </w:tcPr>
          <w:p>
            <w:pPr>
              <w:spacing w:before="100" w:beforeAutospacing="1" w:after="100" w:afterAutospacing="1" w:line="360" w:lineRule="exact"/>
              <w:jc w:val="center"/>
              <w:rPr>
                <w:rFonts w:ascii="仿宋" w:hAnsi="仿宋" w:eastAsia="仿宋" w:cs="仿宋"/>
                <w:bCs/>
                <w:sz w:val="28"/>
                <w:szCs w:val="28"/>
              </w:rPr>
            </w:pPr>
            <w:r>
              <w:rPr>
                <w:rFonts w:hint="eastAsia" w:ascii="仿宋" w:hAnsi="仿宋" w:eastAsia="仿宋" w:cs="仿宋"/>
                <w:bCs/>
                <w:sz w:val="28"/>
                <w:szCs w:val="28"/>
              </w:rPr>
              <w:t>维修材料管理费中标管理费率(%)</w:t>
            </w:r>
          </w:p>
        </w:tc>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spacing w:before="100" w:beforeAutospacing="1" w:after="100" w:afterAutospacing="1" w:line="360" w:lineRule="exact"/>
              <w:jc w:val="center"/>
              <w:rPr>
                <w:rFonts w:ascii="仿宋" w:hAnsi="仿宋" w:eastAsia="仿宋" w:cs="仿宋"/>
                <w:bCs/>
                <w:sz w:val="28"/>
                <w:szCs w:val="28"/>
              </w:rPr>
            </w:pPr>
            <w:r>
              <w:rPr>
                <w:rFonts w:hint="eastAsia" w:ascii="仿宋" w:hAnsi="仿宋" w:eastAsia="仿宋" w:cs="仿宋"/>
                <w:bCs/>
                <w:sz w:val="28"/>
                <w:szCs w:val="28"/>
              </w:rPr>
              <w:t>工商营业执照登记地址所属的行政区域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2850" w:type="dxa"/>
            <w:tcBorders>
              <w:top w:val="outset" w:color="auto" w:sz="6" w:space="0"/>
              <w:left w:val="outset" w:color="auto" w:sz="6" w:space="0"/>
              <w:bottom w:val="outset" w:color="auto" w:sz="6" w:space="0"/>
              <w:right w:val="outset" w:color="auto" w:sz="6" w:space="0"/>
            </w:tcBorders>
            <w:shd w:val="clear" w:color="auto" w:fill="auto"/>
            <w:vAlign w:val="center"/>
          </w:tcPr>
          <w:p>
            <w:pPr>
              <w:spacing w:before="100" w:beforeAutospacing="1" w:after="100" w:afterAutospacing="1" w:line="360" w:lineRule="exact"/>
              <w:jc w:val="center"/>
              <w:rPr>
                <w:rFonts w:ascii="仿宋" w:hAnsi="仿宋" w:eastAsia="仿宋" w:cs="仿宋"/>
                <w:bCs/>
                <w:sz w:val="28"/>
                <w:szCs w:val="28"/>
              </w:rPr>
            </w:pPr>
          </w:p>
        </w:tc>
        <w:tc>
          <w:tcPr>
            <w:tcW w:w="1560" w:type="dxa"/>
            <w:tcBorders>
              <w:top w:val="outset" w:color="auto" w:sz="6" w:space="0"/>
              <w:left w:val="outset" w:color="auto" w:sz="6" w:space="0"/>
              <w:bottom w:val="outset" w:color="auto" w:sz="6" w:space="0"/>
              <w:right w:val="outset" w:color="auto" w:sz="6" w:space="0"/>
            </w:tcBorders>
            <w:shd w:val="clear" w:color="auto" w:fill="auto"/>
            <w:vAlign w:val="center"/>
          </w:tcPr>
          <w:p>
            <w:pPr>
              <w:spacing w:before="100" w:beforeAutospacing="1" w:after="100" w:afterAutospacing="1" w:line="360" w:lineRule="exact"/>
              <w:jc w:val="center"/>
              <w:rPr>
                <w:rFonts w:ascii="仿宋" w:hAnsi="仿宋" w:eastAsia="仿宋" w:cs="仿宋"/>
                <w:bCs/>
                <w:sz w:val="28"/>
                <w:szCs w:val="28"/>
              </w:rPr>
            </w:pPr>
          </w:p>
        </w:tc>
        <w:tc>
          <w:tcPr>
            <w:tcW w:w="1701" w:type="dxa"/>
            <w:tcBorders>
              <w:top w:val="outset" w:color="auto" w:sz="6" w:space="0"/>
              <w:left w:val="outset" w:color="auto" w:sz="6" w:space="0"/>
              <w:bottom w:val="outset" w:color="auto" w:sz="6" w:space="0"/>
              <w:right w:val="outset" w:color="auto" w:sz="6" w:space="0"/>
            </w:tcBorders>
            <w:shd w:val="clear" w:color="auto" w:fill="auto"/>
            <w:vAlign w:val="center"/>
          </w:tcPr>
          <w:p>
            <w:pPr>
              <w:spacing w:before="100" w:beforeAutospacing="1" w:after="100" w:afterAutospacing="1" w:line="360" w:lineRule="exact"/>
              <w:jc w:val="center"/>
              <w:rPr>
                <w:rFonts w:ascii="仿宋" w:hAnsi="仿宋" w:eastAsia="仿宋" w:cs="仿宋"/>
                <w:bCs/>
                <w:sz w:val="28"/>
                <w:szCs w:val="28"/>
              </w:rPr>
            </w:pPr>
          </w:p>
        </w:tc>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spacing w:before="100" w:beforeAutospacing="1" w:after="100" w:afterAutospacing="1" w:line="360" w:lineRule="exact"/>
              <w:jc w:val="center"/>
              <w:rPr>
                <w:rFonts w:ascii="仿宋" w:hAnsi="仿宋" w:eastAsia="仿宋" w:cs="仿宋"/>
                <w:bCs/>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50" w:type="dxa"/>
            <w:tcBorders>
              <w:top w:val="outset" w:color="auto" w:sz="6" w:space="0"/>
              <w:left w:val="outset" w:color="auto" w:sz="6" w:space="0"/>
              <w:bottom w:val="outset" w:color="auto" w:sz="6" w:space="0"/>
              <w:right w:val="outset" w:color="auto" w:sz="6" w:space="0"/>
            </w:tcBorders>
            <w:shd w:val="clear" w:color="auto" w:fill="auto"/>
            <w:vAlign w:val="center"/>
          </w:tcPr>
          <w:p>
            <w:pPr>
              <w:spacing w:before="100" w:beforeAutospacing="1" w:after="100" w:afterAutospacing="1" w:line="360" w:lineRule="exact"/>
              <w:jc w:val="center"/>
              <w:rPr>
                <w:rFonts w:ascii="仿宋" w:hAnsi="仿宋" w:eastAsia="仿宋" w:cs="仿宋"/>
                <w:bCs/>
                <w:sz w:val="28"/>
                <w:szCs w:val="28"/>
              </w:rPr>
            </w:pPr>
            <w:r>
              <w:rPr>
                <w:rFonts w:hint="eastAsia" w:ascii="仿宋" w:hAnsi="仿宋" w:eastAsia="仿宋" w:cs="仿宋"/>
                <w:bCs/>
                <w:sz w:val="28"/>
                <w:szCs w:val="28"/>
              </w:rPr>
              <w:t>备注说明</w:t>
            </w:r>
          </w:p>
        </w:tc>
        <w:tc>
          <w:tcPr>
            <w:tcW w:w="5113"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spacing w:before="100" w:beforeAutospacing="1" w:after="100" w:afterAutospacing="1" w:line="360" w:lineRule="exact"/>
              <w:jc w:val="center"/>
              <w:rPr>
                <w:rFonts w:ascii="仿宋" w:hAnsi="仿宋" w:eastAsia="仿宋" w:cs="仿宋"/>
                <w:bCs/>
                <w:sz w:val="28"/>
                <w:szCs w:val="28"/>
              </w:rPr>
            </w:pPr>
          </w:p>
        </w:tc>
      </w:tr>
    </w:tbl>
    <w:p>
      <w:pPr>
        <w:pStyle w:val="29"/>
        <w:spacing w:before="0" w:beforeAutospacing="0" w:after="0" w:afterAutospacing="0" w:line="420" w:lineRule="atLeast"/>
        <w:textAlignment w:val="baseline"/>
        <w:rPr>
          <w:rFonts w:ascii="仿宋" w:hAnsi="仿宋" w:eastAsia="仿宋" w:cs="仿宋"/>
          <w:bCs/>
          <w:sz w:val="28"/>
          <w:szCs w:val="28"/>
        </w:rPr>
      </w:pPr>
    </w:p>
    <w:p>
      <w:pPr>
        <w:spacing w:line="220" w:lineRule="atLeast"/>
        <w:rPr>
          <w:rFonts w:ascii="仿宋" w:hAnsi="仿宋" w:eastAsia="仿宋" w:cs="仿宋"/>
          <w:sz w:val="28"/>
          <w:szCs w:val="28"/>
        </w:rPr>
      </w:pPr>
      <w:r>
        <w:rPr>
          <w:rFonts w:hint="eastAsia" w:ascii="仿宋" w:hAnsi="仿宋" w:eastAsia="仿宋" w:cs="仿宋"/>
          <w:sz w:val="28"/>
          <w:szCs w:val="28"/>
        </w:rPr>
        <w:t>四、项目程序</w:t>
      </w:r>
    </w:p>
    <w:p>
      <w:pPr>
        <w:spacing w:line="220" w:lineRule="atLeast"/>
        <w:rPr>
          <w:rFonts w:ascii="仿宋" w:hAnsi="仿宋" w:eastAsia="仿宋" w:cs="仿宋"/>
          <w:sz w:val="28"/>
          <w:szCs w:val="28"/>
        </w:rPr>
      </w:pPr>
      <w:r>
        <w:rPr>
          <w:rFonts w:hint="eastAsia" w:ascii="仿宋" w:hAnsi="仿宋" w:eastAsia="仿宋" w:cs="仿宋"/>
          <w:sz w:val="28"/>
          <w:szCs w:val="28"/>
        </w:rPr>
        <w:t>1.投标人根据招标公告要求递交相应的纸质资料（包括但不限于公司资质、服务方案、场地文件、人员清单、服务报价等），对文件要求进行响应。</w:t>
      </w:r>
    </w:p>
    <w:p>
      <w:pPr>
        <w:spacing w:line="220" w:lineRule="atLeast"/>
        <w:rPr>
          <w:rFonts w:ascii="仿宋" w:hAnsi="仿宋" w:eastAsia="仿宋" w:cs="仿宋"/>
          <w:sz w:val="28"/>
          <w:szCs w:val="28"/>
        </w:rPr>
      </w:pPr>
      <w:r>
        <w:rPr>
          <w:rFonts w:hint="eastAsia" w:ascii="仿宋" w:hAnsi="仿宋" w:eastAsia="仿宋" w:cs="仿宋"/>
          <w:sz w:val="28"/>
          <w:szCs w:val="28"/>
        </w:rPr>
        <w:t>2.院方组织投标人对价格内容进行开标。</w:t>
      </w:r>
    </w:p>
    <w:p>
      <w:pPr>
        <w:spacing w:line="220" w:lineRule="atLeast"/>
        <w:rPr>
          <w:rFonts w:ascii="仿宋" w:hAnsi="仿宋" w:eastAsia="仿宋" w:cs="仿宋"/>
          <w:sz w:val="28"/>
          <w:szCs w:val="28"/>
        </w:rPr>
      </w:pPr>
      <w:r>
        <w:rPr>
          <w:rFonts w:hint="eastAsia" w:ascii="仿宋" w:hAnsi="仿宋" w:eastAsia="仿宋" w:cs="仿宋"/>
          <w:sz w:val="28"/>
          <w:szCs w:val="28"/>
        </w:rPr>
        <w:t>3.院方根据综合评分法，确定中标人。评标方法详见附件三。</w:t>
      </w:r>
    </w:p>
    <w:p>
      <w:pPr>
        <w:spacing w:line="220" w:lineRule="atLeast"/>
        <w:rPr>
          <w:rFonts w:ascii="仿宋" w:hAnsi="仿宋" w:eastAsia="仿宋" w:cs="仿宋"/>
          <w:sz w:val="28"/>
          <w:szCs w:val="28"/>
        </w:rPr>
      </w:pPr>
      <w:r>
        <w:rPr>
          <w:rFonts w:hint="eastAsia" w:ascii="仿宋" w:hAnsi="仿宋" w:eastAsia="仿宋" w:cs="仿宋"/>
          <w:sz w:val="28"/>
          <w:szCs w:val="28"/>
        </w:rPr>
        <w:t>五、合同格式（见附件四）</w:t>
      </w:r>
    </w:p>
    <w:p>
      <w:pPr>
        <w:spacing w:line="220" w:lineRule="atLeast"/>
        <w:rPr>
          <w:rFonts w:ascii="仿宋" w:hAnsi="仿宋" w:eastAsia="仿宋" w:cs="仿宋"/>
          <w:sz w:val="28"/>
          <w:szCs w:val="28"/>
        </w:rPr>
      </w:pPr>
      <w:r>
        <w:rPr>
          <w:rFonts w:hint="eastAsia" w:ascii="仿宋" w:hAnsi="仿宋" w:eastAsia="仿宋" w:cs="仿宋"/>
          <w:sz w:val="28"/>
          <w:szCs w:val="28"/>
        </w:rPr>
        <w:t>六、递交资料情况</w:t>
      </w:r>
    </w:p>
    <w:p>
      <w:pPr>
        <w:pStyle w:val="29"/>
        <w:spacing w:before="0" w:beforeAutospacing="0" w:after="0" w:afterAutospacing="0" w:line="420" w:lineRule="atLeast"/>
        <w:ind w:left="280" w:hanging="280" w:hangingChars="100"/>
        <w:textAlignment w:val="baseline"/>
        <w:rPr>
          <w:rFonts w:ascii="仿宋" w:hAnsi="仿宋" w:eastAsia="仿宋" w:cs="仿宋"/>
          <w:bCs/>
          <w:sz w:val="28"/>
          <w:szCs w:val="28"/>
        </w:rPr>
      </w:pPr>
      <w:r>
        <w:rPr>
          <w:rFonts w:hint="eastAsia" w:ascii="仿宋" w:hAnsi="仿宋" w:eastAsia="仿宋" w:cs="仿宋"/>
          <w:bCs/>
          <w:sz w:val="28"/>
          <w:szCs w:val="28"/>
        </w:rPr>
        <w:t>1.投标截止时间：</w:t>
      </w:r>
      <w:r>
        <w:rPr>
          <w:rFonts w:hint="eastAsia" w:ascii="仿宋" w:hAnsi="仿宋" w:eastAsia="仿宋" w:cs="仿宋"/>
          <w:bCs/>
          <w:sz w:val="28"/>
          <w:szCs w:val="28"/>
          <w:lang w:val="en-US" w:eastAsia="zh-CN"/>
        </w:rPr>
        <w:t>2022年5</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30</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8：00至2022年6</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3</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17：30</w:t>
      </w:r>
      <w:r>
        <w:rPr>
          <w:rFonts w:hint="eastAsia" w:ascii="仿宋" w:hAnsi="仿宋" w:eastAsia="仿宋" w:cs="仿宋"/>
          <w:bCs/>
          <w:sz w:val="28"/>
          <w:szCs w:val="28"/>
        </w:rPr>
        <w:t>，开标时间地点另行通知。</w:t>
      </w:r>
    </w:p>
    <w:p>
      <w:pPr>
        <w:pStyle w:val="29"/>
        <w:spacing w:before="0" w:beforeAutospacing="0" w:after="0" w:afterAutospacing="0" w:line="420" w:lineRule="atLeast"/>
        <w:ind w:left="280" w:hanging="280" w:hangingChars="100"/>
        <w:textAlignment w:val="baseline"/>
        <w:rPr>
          <w:rFonts w:ascii="仿宋" w:hAnsi="仿宋" w:eastAsia="仿宋" w:cs="仿宋"/>
          <w:bCs/>
          <w:sz w:val="28"/>
          <w:szCs w:val="28"/>
        </w:rPr>
      </w:pPr>
      <w:r>
        <w:rPr>
          <w:rFonts w:hint="eastAsia" w:ascii="仿宋" w:hAnsi="仿宋" w:eastAsia="仿宋" w:cs="仿宋"/>
          <w:bCs/>
          <w:sz w:val="28"/>
          <w:szCs w:val="28"/>
        </w:rPr>
        <w:t>2.递交资料地点：深汕中心医院行政科研楼101后勤科，投标文件一正五副。</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3.联系人/联系方式：郑老师0660-3863555</w:t>
      </w: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bookmarkStart w:id="2" w:name="_GoBack"/>
      <w:bookmarkEnd w:id="2"/>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szCs w:val="21"/>
        </w:rPr>
      </w:pPr>
      <w:r>
        <w:rPr>
          <w:rFonts w:hint="eastAsia" w:ascii="仿宋" w:hAnsi="仿宋" w:eastAsia="仿宋" w:cs="仿宋"/>
          <w:b/>
          <w:sz w:val="30"/>
          <w:szCs w:val="30"/>
        </w:rPr>
        <w:t>附件一：</w:t>
      </w:r>
      <w:r>
        <w:rPr>
          <w:rFonts w:hint="eastAsia" w:ascii="仿宋" w:hAnsi="仿宋" w:eastAsia="仿宋" w:cs="仿宋"/>
          <w:b/>
          <w:bCs/>
          <w:szCs w:val="21"/>
        </w:rPr>
        <w:t>参加车辆维修投标车辆型号</w:t>
      </w:r>
    </w:p>
    <w:p>
      <w:pPr>
        <w:pStyle w:val="29"/>
        <w:spacing w:before="0" w:beforeAutospacing="0" w:after="0" w:afterAutospacing="0" w:line="420" w:lineRule="atLeast"/>
        <w:textAlignment w:val="baseline"/>
        <w:rPr>
          <w:rFonts w:ascii="仿宋" w:hAnsi="仿宋" w:eastAsia="仿宋" w:cs="仿宋"/>
          <w:szCs w:val="21"/>
        </w:rPr>
      </w:pPr>
    </w:p>
    <w:tbl>
      <w:tblPr>
        <w:tblStyle w:val="33"/>
        <w:tblW w:w="7775" w:type="dxa"/>
        <w:tblInd w:w="95" w:type="dxa"/>
        <w:tblLayout w:type="fixed"/>
        <w:tblCellMar>
          <w:top w:w="0" w:type="dxa"/>
          <w:left w:w="108" w:type="dxa"/>
          <w:bottom w:w="0" w:type="dxa"/>
          <w:right w:w="108" w:type="dxa"/>
        </w:tblCellMar>
      </w:tblPr>
      <w:tblGrid>
        <w:gridCol w:w="816"/>
        <w:gridCol w:w="4017"/>
        <w:gridCol w:w="2942"/>
      </w:tblGrid>
      <w:tr>
        <w:trPr>
          <w:trHeight w:val="37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40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品牌</w:t>
            </w:r>
          </w:p>
        </w:tc>
        <w:tc>
          <w:tcPr>
            <w:tcW w:w="29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车型</w:t>
            </w:r>
          </w:p>
        </w:tc>
      </w:tr>
      <w:tr>
        <w:tblPrEx>
          <w:tblCellMar>
            <w:top w:w="0" w:type="dxa"/>
            <w:left w:w="108" w:type="dxa"/>
            <w:bottom w:w="0" w:type="dxa"/>
            <w:right w:w="108" w:type="dxa"/>
          </w:tblCellMar>
        </w:tblPrEx>
        <w:trPr>
          <w:trHeight w:val="378"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w:t>
            </w:r>
          </w:p>
        </w:tc>
        <w:tc>
          <w:tcPr>
            <w:tcW w:w="40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ND5042XJH-EC5北地</w:t>
            </w:r>
          </w:p>
        </w:tc>
        <w:tc>
          <w:tcPr>
            <w:tcW w:w="294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越野型救护车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XKC5041XJH6J新飞</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负压型救护车</w:t>
            </w:r>
          </w:p>
        </w:tc>
      </w:tr>
      <w:tr>
        <w:tblPrEx>
          <w:tblCellMar>
            <w:top w:w="0" w:type="dxa"/>
            <w:left w:w="108" w:type="dxa"/>
            <w:bottom w:w="0" w:type="dxa"/>
            <w:right w:w="108" w:type="dxa"/>
          </w:tblCellMar>
        </w:tblPrEx>
        <w:trPr>
          <w:trHeight w:val="375"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3</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GZX5042XJH振轩</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自动波型转运救护车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4</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XKC5031XJHA6新飞</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监护型救护车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5</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XKC5031XJHA6新飞</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监护型救护车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6</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GZX5042XJH振轩</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方舱重症监护型救护车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7</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GAC6510MEA6A传祺牌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7座商务车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8</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GAC6510MEA6A传祺牌</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7座商务车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9</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GAC6510MEA6A传祺牌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7座商务车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10</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GAC7152B2A6C传祺牌</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5座轿车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11</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GAC7152B2A6C传祺牌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5座轿车</w:t>
            </w:r>
          </w:p>
        </w:tc>
      </w:tr>
      <w:tr>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12</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GAC7152B2A6C传祺牌</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5座轿车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13</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GAC7152B2A6C传祺牌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5座轿车</w:t>
            </w:r>
          </w:p>
        </w:tc>
      </w:tr>
      <w:tr>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14</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GAC7152B2A6C传祺牌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5座轿车</w:t>
            </w:r>
          </w:p>
        </w:tc>
      </w:tr>
    </w:tbl>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r>
        <w:rPr>
          <w:rFonts w:hint="eastAsia" w:ascii="仿宋" w:hAnsi="仿宋" w:eastAsia="仿宋" w:cs="仿宋"/>
          <w:b/>
          <w:sz w:val="30"/>
          <w:szCs w:val="30"/>
        </w:rPr>
        <w:t>附件二：</w:t>
      </w:r>
    </w:p>
    <w:p>
      <w:pPr>
        <w:spacing w:line="360" w:lineRule="auto"/>
        <w:ind w:firstLine="482" w:firstLineChars="200"/>
        <w:jc w:val="center"/>
        <w:rPr>
          <w:rFonts w:ascii="仿宋" w:hAnsi="仿宋" w:eastAsia="仿宋" w:cs="仿宋"/>
          <w:b/>
          <w:bCs/>
          <w:sz w:val="24"/>
          <w:szCs w:val="24"/>
        </w:rPr>
      </w:pPr>
      <w:r>
        <w:rPr>
          <w:rFonts w:hint="eastAsia" w:ascii="仿宋" w:hAnsi="仿宋" w:eastAsia="仿宋" w:cs="仿宋"/>
          <w:b/>
          <w:bCs/>
          <w:sz w:val="24"/>
          <w:szCs w:val="24"/>
        </w:rPr>
        <w:t>深汕中心医院公务车维修项目工时费明细表</w:t>
      </w:r>
    </w:p>
    <w:p>
      <w:pPr>
        <w:spacing w:line="360" w:lineRule="auto"/>
        <w:ind w:firstLine="482" w:firstLineChars="200"/>
        <w:jc w:val="right"/>
        <w:rPr>
          <w:rFonts w:ascii="仿宋" w:hAnsi="仿宋" w:eastAsia="仿宋" w:cs="仿宋"/>
          <w:sz w:val="24"/>
          <w:szCs w:val="24"/>
        </w:rPr>
      </w:pPr>
      <w:r>
        <w:rPr>
          <w:rFonts w:hint="eastAsia" w:ascii="仿宋" w:hAnsi="仿宋" w:eastAsia="仿宋" w:cs="仿宋"/>
          <w:b/>
          <w:sz w:val="24"/>
          <w:szCs w:val="24"/>
        </w:rPr>
        <w:t>（货币单位：人民币元）</w:t>
      </w:r>
    </w:p>
    <w:tbl>
      <w:tblPr>
        <w:tblStyle w:val="33"/>
        <w:tblpPr w:leftFromText="180" w:rightFromText="180" w:vertAnchor="text" w:horzAnchor="page" w:tblpX="1395" w:tblpY="489"/>
        <w:tblOverlap w:val="never"/>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13"/>
        <w:gridCol w:w="3395"/>
        <w:gridCol w:w="1213"/>
        <w:gridCol w:w="11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类 别</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编 号</w:t>
            </w:r>
          </w:p>
        </w:tc>
        <w:tc>
          <w:tcPr>
            <w:tcW w:w="33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维修项目</w:t>
            </w:r>
          </w:p>
        </w:tc>
        <w:tc>
          <w:tcPr>
            <w:tcW w:w="3382"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 xml:space="preserve"> 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339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 3000CC以上 </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1800-3000CC </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1800CC以下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整车</w:t>
            </w:r>
          </w:p>
          <w:p>
            <w:pPr>
              <w:jc w:val="center"/>
              <w:rPr>
                <w:rFonts w:ascii="仿宋" w:hAnsi="仿宋" w:eastAsia="仿宋" w:cs="仿宋"/>
                <w:bCs/>
                <w:sz w:val="24"/>
                <w:szCs w:val="24"/>
              </w:rPr>
            </w:pPr>
            <w:r>
              <w:rPr>
                <w:rFonts w:hint="eastAsia" w:ascii="仿宋" w:hAnsi="仿宋" w:eastAsia="仿宋" w:cs="仿宋"/>
                <w:bCs/>
                <w:sz w:val="24"/>
                <w:szCs w:val="24"/>
              </w:rPr>
              <w:t>保养</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一级维护</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二级维护</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103</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更换机油，机油滤清器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104</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更换波箱油（手动）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105</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更换波箱油（自动）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106</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更换波箱油（电控波箱）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107</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保养四轮刹车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108</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保养冷却系统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109</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保养空调系统（不含加注雪种）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110</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保养转向系统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111</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sz w:val="24"/>
                <w:szCs w:val="24"/>
              </w:rPr>
            </w:pPr>
            <w:r>
              <w:rPr>
                <w:rFonts w:hint="eastAsia" w:ascii="仿宋" w:hAnsi="仿宋" w:eastAsia="仿宋" w:cs="仿宋"/>
                <w:bCs/>
                <w:sz w:val="24"/>
                <w:szCs w:val="24"/>
              </w:rPr>
              <w:t>清洗发动机外表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发动机</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发动机大修（含吊装发动机）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吊装发动机总成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更换发动机下挡泥板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更换发动机左侧支承胶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更换发动机右侧支承胶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更换发动机后支承胶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清洗、调校喷油嘴（全车套）及节气门（4缸）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534.6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清洗、调校喷油嘴（全车套）及节气门（6缸）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检修发动机燃油喷射系统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取断头螺丝（支）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更换汽油泵（电动泵）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拆装燃油箱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拆装或更换谐振箱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更换防冻液</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更换水泵及防冻液</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拆装水箱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更换水道闷头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更换旁通水管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更换上水管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更换下水管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更换冷却风扇马达</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拆装油底壳（不含吊装发动机）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更换曲轴后油封（含吊装波箱）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更换曲轴前油封（不含吊装发动机）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焊补排气管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更换排气管吊胶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拆装、更换排气管前段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拆装、更换排气管第二段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拆装、更换排气管第三段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拆装、更换排气管尾段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拆装或更换空滤器总成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更换方向泵皮带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更换发电机皮带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更换空调皮带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更换正时皮带,调整配气正时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更换正时链,调整配气正时（不含吊装发动机）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皮带张紧力调节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更换气缸垫（4缸）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更换气缸垫（6缸）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拆装气门室盖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更换油门拉线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更换电子油门（含解码）</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130</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117</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废气检测</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检修起动机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检修发电机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检查、更换分火线，分火头及分火盖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更换节温器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更换节温器盖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更换连接水管（水泵到节温器）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更换起动机总成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更换发电机总成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更换发动机缸盖（4缸）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更换发动机缸盖（6缸）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更换机油集滤器（不含吊装发动机）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更换机油泵总成（不含吊装发动机）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更换曲轴皮带轮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拆装处理排气管前端接口漏气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拆装进气岐管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拆装排气管岐管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更换风扇偶合器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检修汽油泵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清洗燃油箱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拆装高压油泵（柴油）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清洗曲轴箱机油集滤器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研磨气门（支）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换发动机全套活塞环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换连杆轴承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检修空气压缩机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换机油感应器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检修离合器液压总泵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免拆清洗引擎油路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换发动机活塞、连杆</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178</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145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更换正时齿轮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换机油感应器、测量机油压力</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检修气门漏气（4缸）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检修气门漏气（6缸）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换柴油机气缸垫</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清洗更换燃油滤清器（外置式）</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173.7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157.5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清洁怠速控制器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更换检查水温感应器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更换火花塞</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检修正时皮带异响或漏油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检修更换机油格座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镶气门座（个）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油电路保养</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发动机电脑检测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调怠速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检修曲轴通风装置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清洗空气滤清器或更换滤芯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检修正时链或齿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清理发动机积碳（4缸）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清理发动机积碳（6缸）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更换飞轮齿（含吊装波箱）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拆装清洗汽油喷嘴（支）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更换三元催化器（不含吊装发动机）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清洗或更换节气门阀体</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更换燃油蒸发控制装置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检测、清洗废气再循环（EGR）系统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免拆清洗发动机气路系统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免拆清洗曲轴箱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拆洗三元催化器（不含吊装发动机）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更换涡轮增压器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拆装清洗柴油喷油嘴（支）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传动系统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更换离合器片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维修或保养离合器总泵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维修或保养离合器分泵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分解、修理差速器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分解、修理自动变速箱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3326.4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分解、修理手动变速箱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1425.6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吊装变速箱总成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拆装波箱油底壳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更换波箱吊胶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更换或润滑波箱换挡拉索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更换或润滑波箱油门拉索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更换前驱动半轴（单边）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更换半轴外球笼（单边）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更换半轴内球笼（单边）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更换半轴防尘套、保养球笼（单边）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换传动轴中间轴承或油封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换油箱支架胶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调校离合器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换传动轴万向节总成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换差速器油封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换半轴油封（单边）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更换轮毂轴承（轮）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检修挂档机构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检修变速箱操纵机构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更换变速箱前油封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更换变速箱后油封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换离合器分离轴承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检修后轮壳油封漏油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更换波箱档位显示器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检测更换波箱电磁阀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检修波箱液压油路板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1425.6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更换米表线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更换轮胎及动平衡（条）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更换传动轴吊胶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检修P档锁止开关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更换差速器油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339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外调校手刹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悬挂系统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前独立悬挂解体、修理（单边）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534.6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后独立悬挂解体、修理（单边）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更换后悬挂推杆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更换后悬挂稳定杆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更换轮胎螺丝（轮）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更换螺旋弹簧（支）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更换前减震器（支）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更换后减震器（支）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更换前轮避震器座胶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更换前轮定位拉杆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更换前上挂臂（单边）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更换前下挂臂（单边）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更换后轮上挂臂（单边）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更换后轮下挂臂（单边）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更换平衡杆胶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更换前平衡杆小连杆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拆装平衡杆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拆装或更换转向节（单边）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拆装前轮轴承（单边）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拆装后轮轴承（单边）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平衡轮胎（条）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更换轮胎，平衡轮胎（四轮）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更换钢圈，平衡轮胎（四轮）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更换发动机前横梁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更换发动机后横梁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换普通前避震器（支）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换普通后避震器（支）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检修前轮钢板弹簧断（单边）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检修后轮钢板弹簧断（单边）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检修铆前钢板支架座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检修铆后钢板支架座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调校前桥扭杆弹簧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换悬挂上、下球头（单边）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换转向节主销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410.4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更换钢板销及衬套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换后钢板弹簧（单边）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调整转向角度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检修横直拉杆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换扭杆式前叉板胶套及轴（单边）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检修更换转向辅助臂（个）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检修可变悬架系统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检修空压式悬架避震系统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检修电子悬挂线路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446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更换前轮油封（轮）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更换后轮油封（轮）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制动系统</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500　</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检修四轮刹车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更换前制动片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更换后制动片（碟刹）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更换后制动蹄（鼓刹）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更换手刹片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更换后制动鼓</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光整制动盘（个）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更换前制动盘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更换制动踏板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镗制动鼓（个）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检修制动总泵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检修制动分泵（碟）（个）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更换制动分泵（前）（个）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更换真空助力器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更换ABS执行器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471.6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428.4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更换ABS转速传感器（个）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更换车轮制动软管（条）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更换全车手刹拉线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调整手拉杆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换刹车比例阀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调校四轮刹车（含放空气）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523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更换刹车油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检修ABS系统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1900.8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转向系统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四轮定位检测、调整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前束检测、调整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更换方向机总成（齿条）（含四轮定位）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更换方向机总成（循环球）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大修方向机（齿条）（含四轮定位）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大修方向机（循环球）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更换方向助力油泵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拆装转向管柱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拆装转向横拉杆（内球头）（不含四轮定位）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拆装调整方向盘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更换方向机防尘套（不含四轮定位）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调整方向盘间隙</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更换助力泵油壶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换方向机中尺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换方向机高低压油管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检修或更换转向机电控系统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更换方向机油散热器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618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换转向机十字轴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451.8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410.4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空调系统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补充雪种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更换电磁离合器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更换压缩机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更换冷凝器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清洁或更换蒸发器（不含拆装仪表台）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更换暖水开关阀（不含拆装仪表台）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更换风量调节开关（不含拆装仪表台）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更换冷暖调节开关或拉索（不含拆装仪表台）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更换A/C开关（不含拆装仪表台）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更换暖风水箱（不含拆装仪表台）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拆装装空调鼓风机（不含拆装仪表台）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拆装空调进气滤网</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检修电子扇电路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检修空调电路（普通）（不含拆装仪表台）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空调系统大修（单蒸发器）（不含拆装仪表台）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空调系统大修（双蒸发器）（不含拆装仪表台）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换雪种瓶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抽真空加雪种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换高低压管（条）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检查更换空调继电器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清洗冷气风口、管道（不含拆装仪表台）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排除蒸发箱外水道堵塞</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更换膨胀阀（不含拆装仪表台）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拆装更换冷气温度感应器（不含拆装仪表台）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更换空调保险阀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检修空调电路（自动）（不含拆装仪表台）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检修暖气系统（不含拆装仪表台）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729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清洗蒸发器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电器系统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检修里程表线路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检修水温表线路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检修转速表线路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检修燃油表线路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检修机油压力线路(机油灯亮)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检修充电指示灯线路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检修全车灯光线路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调整大灯位置及光轴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拆修雨刮连杆机构（不含拆装仪表台）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检修雨刮喷水机构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更换雨刮喷水壶或喷水电机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更换天线总成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更换前门音响喇叭（个）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更换后音响喇叭（个）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拆装音响主机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更换电喇叭</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更换气囊袋线盘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更换左右气袋及电脑（含拆装仪表台）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更换升降器总开关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更换前门升降器或马达（单门）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更换后门升降器或马达（单门）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更换转向组合开关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更换前大灯或大灯座（只）（不含拆保险杠）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更换前角灯（只）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更换后尾灯（只）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更换后高位制动灯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检修、更换前射灯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检修手刹灯线路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检修挂挡杆灯线路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拆装检修天窗机构（含拆装天花内饰板）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更换天窗开关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检修电动后视镜及电路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更换仪表板照明灯泡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全车线路大修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消除故障码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更换室内倒车镜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换刮雨马达（不含拆装仪表台）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换保险盒（不含线束更换）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检修电子防盗器系统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检修电子油门故障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检修车速传感器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检修巡航系统控制电路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检修电动座椅电路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更换外把手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更换四档泥板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检修电动车窗电路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检修中央门锁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拆装更换门灯感应器（个）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检修安全带感应器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更换刹车油量感应器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拆检尾门锁灯开关总成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检修起动线路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更换电池头（正）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更换电池头（负）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发动机保养电脑归零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检修气囊控制电路故障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检修自动波外控电器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检修液压方向机电子控制系统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检修自动防撞系统（仪表台）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配装遥控器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检修加速防滑系统（ASR）</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检修四轮驱动系统电路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检修CD收放机外接电路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检修电子仪表板电路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检修更换雾灯（一对）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107.1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检修大灯高低调整装置（内置式）</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更换雨刮臂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检修倒车灯电路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检修雨刮电路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874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检修喇叭电路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安装车尾静电线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车身部分</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拆装车身饰件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更换前中网</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更换前或后档风玻璃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更换发动机仓前龙门架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891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更换发动机盖锁并调整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更换发动机盖拉索拉手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更换倒车镜（单边）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拆装倒车雷达</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更换前翼子板（单边）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更换后翼子板（单边）（含拆装后杠、后档等相关附件）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更换前车门（个）（含相关附件拆装）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更换前门玻璃（件）（含相关附件拆装）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拆装前门内饰板（件）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拆装后门饰板（件）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更换车身前立柱（单边）（含相关附件拆装）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2178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更换车身中立柱（单边）（含相关附件拆装）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更换前门锁机并调整（个）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更换后门锁机并调整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更换落水槽饰条（条）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更换前门玻璃绒槽（条）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更换后门玻璃绒槽</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更换门锁驱动器（个）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更换全车标志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更换全车锁（不含解码）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安装全车电镀楣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更换天窗玻璃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拆装天窗机构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更换后门三角窗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更换车身下裙（单边）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更换后门玻璃外压条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更换前门玻璃外压条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修复校正大梁（不含拆装其他附件）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更换车身地毯（不含拆装仪表台）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拆装车内天花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更换油箱开启盖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更换水箱上支架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更换水箱下支架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更换车门防水胶条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更换车门外拉手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更换车门内拉手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更换车门限位器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更换后车门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拆装行李箱内饰件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更换行李箱后围板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更换行李箱拉簧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拆装前排座椅（个）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拆装后排座椅及靠背</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更换前轮内挡泥衬胶（单边）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更换后轮内挡泥补胶（单边）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更换车门防撞胶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更换大灯下支架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更换前保险杠内支架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更换后保险杠内支架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更换前叶子板内托（左或右）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更换后叶子板内托（左或右）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更换门柱外饰铰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更换后盖铰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更换前、后门门铰（对）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更换前大灯（个）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单门修复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前杠修复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引擎盖修复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后箱盖修复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修玻璃升降器手动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修玻璃升降器电动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换单门锁芯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换尾箱盖锁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换引擎盖锁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换车身彩条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更换尾门撑杆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检修排气管、消声器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电池架烧焊固定</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检修中门轴承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检修车头盖锁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固定保险杠角胶（吉普车）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轮胎上盖板修复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后尾板修复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车身大修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更换车身电镀饰板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前照面修复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前玻璃框锈蚀修复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后玻璃框锈蚀修复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车顶沙板修复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修复后保险杠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993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更换安全带（条）（不含电脑解码）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调校车门（个）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调校尾门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更换后盖拉线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拆装全车附件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修复备胎架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调校门锁位（门）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换叶子板饰条（条）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更换外把手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更换四档泥板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钣金</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386.1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444.6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左下裙条凹位修复及校正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右下裙条凹位修复及校正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左前立柱凹位修复及校正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右前立柱凹位修复及校正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左中柱凹位修复及校正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右中柱凹位修复及校正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更换左前大梁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更换右前大梁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左后门凹位修复及校正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右后门凹位修复及校正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左后叶子板凹位修复及校正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右后叶子板凹位修复及校正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行李箱盖凹位修复及校正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358.2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修复前大梁（后）</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1229.4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1116.9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修复前、后大梁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1541.7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1401.3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1024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中门沙板修复（中等程度）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324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295.2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拆装清洁全车室内饰件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848.7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维修项目XI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烤漆及美容</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全车烤漆内外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6440.4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702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883.8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440.1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前保险杠补漆（局部）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383.4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348.3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后保险杠补漆（局部）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510.3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709.2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604.8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454.5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454.5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311.4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中立柱烤漆（旧件）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中立柱烤漆（残破）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419.4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419.4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车门上幅烤漆（旧件）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车门上幅烤漆（残破）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416.7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车门下幅烤漆（旧件）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车门下幅烤漆（残破）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车门防撞条烤漆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132.3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610.2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576.9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350.1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1108.8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1108.8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倒车镜烤漆（新件）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105.3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倒车镜烤漆（旧件）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全车座位清洗、上蜡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发动机外部清洗、上蜡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260.1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236.7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全车抛光、上蜡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394.2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全车打磨、抛光、上蜡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443.7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上增艳蜡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284.4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258.3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全车除污渍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551.7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打磨、抛光加一层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431.1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后箱盖烤漆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783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引擎盖烤漆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922.5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838.8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内部美容蒸气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水蜡洗车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上普通光蜡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更换全车座套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外车身、全车填面喷漆、烤漆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3976.2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3615.3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车底喷防锈漆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535.5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全车室内消毒</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全车装表茶纸（5座车）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601.2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546.3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室内椅套清洗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真皮座椅去渍、上光</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404.1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发动机外表清洗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bl>
    <w:p>
      <w:pPr>
        <w:spacing w:line="360" w:lineRule="auto"/>
        <w:rPr>
          <w:rFonts w:ascii="仿宋_GB2" w:hAnsi="仿宋_GB2" w:eastAsia="仿宋_GB2" w:cs="仿宋_GB2"/>
          <w:szCs w:val="21"/>
        </w:rPr>
      </w:pPr>
    </w:p>
    <w:p>
      <w:pPr>
        <w:spacing w:line="360" w:lineRule="auto"/>
        <w:rPr>
          <w:rFonts w:ascii="仿宋_GB2" w:hAnsi="仿宋_GB2" w:eastAsia="仿宋_GB2" w:cs="仿宋_GB2"/>
          <w:szCs w:val="21"/>
        </w:rPr>
      </w:pPr>
      <w:r>
        <w:rPr>
          <w:rFonts w:hint="eastAsia" w:ascii="仿宋_GB2" w:hAnsi="仿宋_GB2" w:eastAsia="仿宋_GB2" w:cs="仿宋_GB2"/>
          <w:szCs w:val="21"/>
        </w:rPr>
        <w:t>注：表中机修电器项目收费含相关附件拆装，钣金项目收费为单项拆装修复，喷漆项目收费包含漆料，美容项目包含耗材。</w:t>
      </w:r>
    </w:p>
    <w:p>
      <w:pPr>
        <w:pStyle w:val="29"/>
        <w:spacing w:before="0" w:beforeAutospacing="0" w:after="0" w:afterAutospacing="0" w:line="420" w:lineRule="atLeast"/>
        <w:textAlignment w:val="baseline"/>
      </w:pPr>
    </w:p>
    <w:p>
      <w:pPr>
        <w:pStyle w:val="29"/>
        <w:spacing w:before="0" w:beforeAutospacing="0" w:after="0" w:afterAutospacing="0" w:line="420" w:lineRule="atLeast"/>
        <w:textAlignment w:val="baseline"/>
      </w:pPr>
    </w:p>
    <w:p>
      <w:pPr>
        <w:pStyle w:val="29"/>
        <w:spacing w:before="0" w:beforeAutospacing="0" w:after="0" w:afterAutospacing="0" w:line="420" w:lineRule="atLeast"/>
        <w:textAlignment w:val="baseline"/>
      </w:pPr>
    </w:p>
    <w:p>
      <w:pPr>
        <w:pStyle w:val="29"/>
        <w:spacing w:before="0" w:beforeAutospacing="0" w:after="0" w:afterAutospacing="0" w:line="420" w:lineRule="atLeast"/>
        <w:textAlignment w:val="baseline"/>
        <w:rPr>
          <w:rFonts w:ascii="仿宋" w:hAnsi="仿宋" w:eastAsia="仿宋" w:cs="仿宋"/>
          <w:b/>
          <w:sz w:val="30"/>
          <w:szCs w:val="30"/>
        </w:rPr>
      </w:pPr>
      <w:r>
        <w:rPr>
          <w:rFonts w:hint="eastAsia" w:ascii="仿宋" w:hAnsi="仿宋" w:eastAsia="仿宋" w:cs="仿宋"/>
          <w:b/>
          <w:sz w:val="30"/>
          <w:szCs w:val="30"/>
        </w:rPr>
        <w:t>附件三：评标方法</w:t>
      </w:r>
    </w:p>
    <w:p>
      <w:pPr>
        <w:pStyle w:val="29"/>
        <w:spacing w:before="0" w:beforeAutospacing="0" w:after="0" w:afterAutospacing="0" w:line="420" w:lineRule="atLeast"/>
        <w:textAlignment w:val="baseline"/>
        <w:rPr>
          <w:rFonts w:ascii="仿宋" w:hAnsi="仿宋" w:eastAsia="仿宋" w:cs="仿宋"/>
          <w:b/>
          <w:sz w:val="30"/>
          <w:szCs w:val="30"/>
        </w:rPr>
      </w:pPr>
    </w:p>
    <w:p>
      <w:pPr>
        <w:adjustRightInd/>
        <w:snapToGrid/>
        <w:spacing w:after="0" w:line="360" w:lineRule="auto"/>
        <w:rPr>
          <w:rFonts w:ascii="仿宋" w:hAnsi="仿宋" w:eastAsia="仿宋" w:cs="仿宋"/>
          <w:sz w:val="24"/>
          <w:szCs w:val="24"/>
        </w:rPr>
      </w:pPr>
      <w:r>
        <w:rPr>
          <w:rFonts w:hint="eastAsia" w:ascii="仿宋" w:hAnsi="仿宋" w:eastAsia="仿宋" w:cs="仿宋"/>
          <w:sz w:val="24"/>
          <w:szCs w:val="24"/>
        </w:rPr>
        <w:t>本次评标采用综合评分法，对每个子项目独立评标。评标以招标文件规定的条件为依据。评分比重构成如下：</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239"/>
        <w:gridCol w:w="1276"/>
        <w:gridCol w:w="2268"/>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restart"/>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评分项目</w:t>
            </w:r>
          </w:p>
        </w:tc>
        <w:tc>
          <w:tcPr>
            <w:tcW w:w="1239" w:type="dxa"/>
            <w:vMerge w:val="restart"/>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商务评分</w:t>
            </w:r>
          </w:p>
          <w:p>
            <w:pPr>
              <w:adjustRightInd/>
              <w:snapToGrid/>
              <w:spacing w:after="0" w:line="360" w:lineRule="auto"/>
              <w:jc w:val="center"/>
              <w:rPr>
                <w:rFonts w:ascii="仿宋" w:hAnsi="仿宋" w:eastAsia="仿宋" w:cs="仿宋"/>
                <w:kern w:val="2"/>
                <w:sz w:val="24"/>
                <w:szCs w:val="24"/>
              </w:rPr>
            </w:pPr>
          </w:p>
        </w:tc>
        <w:tc>
          <w:tcPr>
            <w:tcW w:w="1276" w:type="dxa"/>
            <w:vMerge w:val="restart"/>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服务评分</w:t>
            </w:r>
          </w:p>
          <w:p>
            <w:pPr>
              <w:adjustRightInd/>
              <w:snapToGrid/>
              <w:spacing w:after="0" w:line="360" w:lineRule="auto"/>
              <w:jc w:val="center"/>
              <w:rPr>
                <w:rFonts w:ascii="仿宋" w:hAnsi="仿宋" w:eastAsia="仿宋" w:cs="仿宋"/>
                <w:kern w:val="2"/>
                <w:sz w:val="24"/>
                <w:szCs w:val="24"/>
              </w:rPr>
            </w:pPr>
          </w:p>
        </w:tc>
        <w:tc>
          <w:tcPr>
            <w:tcW w:w="4303" w:type="dxa"/>
            <w:gridSpan w:val="2"/>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价格评分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adjustRightInd/>
              <w:snapToGrid/>
              <w:spacing w:after="0" w:line="360" w:lineRule="auto"/>
              <w:jc w:val="center"/>
              <w:rPr>
                <w:rFonts w:ascii="仿宋" w:hAnsi="仿宋" w:eastAsia="仿宋" w:cs="仿宋"/>
                <w:kern w:val="2"/>
                <w:sz w:val="24"/>
                <w:szCs w:val="24"/>
              </w:rPr>
            </w:pPr>
          </w:p>
        </w:tc>
        <w:tc>
          <w:tcPr>
            <w:tcW w:w="1239" w:type="dxa"/>
            <w:vMerge w:val="continue"/>
            <w:vAlign w:val="center"/>
          </w:tcPr>
          <w:p>
            <w:pPr>
              <w:adjustRightInd/>
              <w:snapToGrid/>
              <w:spacing w:after="0" w:line="360" w:lineRule="auto"/>
              <w:rPr>
                <w:rFonts w:ascii="仿宋" w:hAnsi="仿宋" w:eastAsia="仿宋" w:cs="仿宋"/>
                <w:kern w:val="2"/>
                <w:sz w:val="24"/>
                <w:szCs w:val="24"/>
              </w:rPr>
            </w:pPr>
          </w:p>
        </w:tc>
        <w:tc>
          <w:tcPr>
            <w:tcW w:w="1276" w:type="dxa"/>
            <w:vMerge w:val="continue"/>
            <w:vAlign w:val="center"/>
          </w:tcPr>
          <w:p>
            <w:pPr>
              <w:adjustRightInd/>
              <w:snapToGrid/>
              <w:spacing w:after="0" w:line="360" w:lineRule="auto"/>
              <w:rPr>
                <w:rFonts w:ascii="仿宋" w:hAnsi="仿宋" w:eastAsia="仿宋" w:cs="仿宋"/>
                <w:kern w:val="2"/>
                <w:sz w:val="24"/>
                <w:szCs w:val="24"/>
              </w:rPr>
            </w:pPr>
          </w:p>
        </w:tc>
        <w:tc>
          <w:tcPr>
            <w:tcW w:w="2268" w:type="dxa"/>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bCs/>
                <w:kern w:val="2"/>
                <w:sz w:val="24"/>
                <w:szCs w:val="24"/>
              </w:rPr>
              <w:t>维修项目工时费优惠率</w:t>
            </w:r>
          </w:p>
        </w:tc>
        <w:tc>
          <w:tcPr>
            <w:tcW w:w="2035" w:type="dxa"/>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bCs/>
                <w:kern w:val="2"/>
                <w:sz w:val="24"/>
                <w:szCs w:val="24"/>
              </w:rPr>
              <w:t>维修材料管理费率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jc w:val="center"/>
        </w:trPr>
        <w:tc>
          <w:tcPr>
            <w:tcW w:w="1704" w:type="dxa"/>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分值</w:t>
            </w:r>
          </w:p>
        </w:tc>
        <w:tc>
          <w:tcPr>
            <w:tcW w:w="1239" w:type="dxa"/>
            <w:vAlign w:val="center"/>
          </w:tcPr>
          <w:p>
            <w:pPr>
              <w:adjustRightInd/>
              <w:snapToGrid/>
              <w:spacing w:after="0" w:line="360" w:lineRule="auto"/>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35</w:t>
            </w:r>
          </w:p>
        </w:tc>
        <w:tc>
          <w:tcPr>
            <w:tcW w:w="1276" w:type="dxa"/>
            <w:vAlign w:val="center"/>
          </w:tcPr>
          <w:p>
            <w:pPr>
              <w:adjustRightInd/>
              <w:snapToGrid/>
              <w:spacing w:after="0" w:line="360" w:lineRule="auto"/>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35</w:t>
            </w:r>
          </w:p>
        </w:tc>
        <w:tc>
          <w:tcPr>
            <w:tcW w:w="2268" w:type="dxa"/>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15</w:t>
            </w:r>
          </w:p>
        </w:tc>
        <w:tc>
          <w:tcPr>
            <w:tcW w:w="2035" w:type="dxa"/>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15</w:t>
            </w:r>
          </w:p>
        </w:tc>
      </w:tr>
    </w:tbl>
    <w:p>
      <w:pPr>
        <w:pStyle w:val="29"/>
        <w:spacing w:before="0" w:beforeAutospacing="0" w:after="0" w:afterAutospacing="0" w:line="420" w:lineRule="atLeast"/>
        <w:textAlignment w:val="baseline"/>
        <w:rPr>
          <w:rFonts w:ascii="仿宋" w:hAnsi="仿宋" w:eastAsia="仿宋" w:cs="仿宋"/>
          <w:b/>
          <w:sz w:val="28"/>
          <w:szCs w:val="28"/>
        </w:rPr>
      </w:pPr>
      <w:bookmarkStart w:id="1" w:name="_Hlk16065581"/>
    </w:p>
    <w:p>
      <w:pPr>
        <w:pStyle w:val="29"/>
        <w:spacing w:before="0" w:beforeAutospacing="0" w:after="0" w:afterAutospacing="0" w:line="420" w:lineRule="atLeast"/>
        <w:textAlignment w:val="baseline"/>
        <w:rPr>
          <w:rFonts w:ascii="仿宋" w:hAnsi="仿宋" w:eastAsia="仿宋" w:cs="仿宋"/>
          <w:b/>
          <w:sz w:val="28"/>
          <w:szCs w:val="28"/>
        </w:rPr>
      </w:pPr>
      <w:r>
        <w:rPr>
          <w:rFonts w:hint="eastAsia" w:ascii="仿宋" w:hAnsi="仿宋" w:eastAsia="仿宋" w:cs="仿宋"/>
          <w:b/>
          <w:sz w:val="28"/>
          <w:szCs w:val="28"/>
        </w:rPr>
        <w:t>商务评分（</w:t>
      </w:r>
      <w:r>
        <w:rPr>
          <w:rFonts w:hint="eastAsia" w:ascii="仿宋" w:hAnsi="仿宋" w:eastAsia="仿宋" w:cs="仿宋"/>
          <w:b/>
          <w:sz w:val="28"/>
          <w:szCs w:val="28"/>
          <w:lang w:val="en-US" w:eastAsia="zh-CN"/>
        </w:rPr>
        <w:t>35</w:t>
      </w:r>
      <w:r>
        <w:rPr>
          <w:rFonts w:hint="eastAsia" w:ascii="仿宋" w:hAnsi="仿宋" w:eastAsia="仿宋" w:cs="仿宋"/>
          <w:b/>
          <w:sz w:val="28"/>
          <w:szCs w:val="28"/>
        </w:rPr>
        <w:t>分）</w:t>
      </w:r>
    </w:p>
    <w:bookmarkEnd w:id="1"/>
    <w:tbl>
      <w:tblPr>
        <w:tblStyle w:val="33"/>
        <w:tblW w:w="846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036"/>
        <w:gridCol w:w="1843"/>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4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036"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公司成立时间</w:t>
            </w:r>
          </w:p>
        </w:tc>
        <w:tc>
          <w:tcPr>
            <w:tcW w:w="464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年：1分；2年或以下：0分。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4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036"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三类汽车维修企业</w:t>
            </w:r>
          </w:p>
        </w:tc>
        <w:tc>
          <w:tcPr>
            <w:tcW w:w="4646" w:type="dxa"/>
            <w:vAlign w:val="center"/>
          </w:tcPr>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具有相关部门出具的“三类汽车维修企业”备案凭证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94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036"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保险特约维修</w:t>
            </w:r>
          </w:p>
        </w:tc>
        <w:tc>
          <w:tcPr>
            <w:tcW w:w="4646"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每有一个特约品牌得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分，最高累计得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4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036" w:type="dxa"/>
            <w:vAlign w:val="center"/>
          </w:tcPr>
          <w:p>
            <w:pPr>
              <w:ind w:left="-376" w:leftChars="-171" w:firstLine="360" w:firstLineChars="1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供应商同类项目服务业绩（提供合同和评价证明材料）</w:t>
            </w:r>
          </w:p>
        </w:tc>
        <w:tc>
          <w:tcPr>
            <w:tcW w:w="4646" w:type="dxa"/>
            <w:shd w:val="clear" w:color="auto" w:fill="auto"/>
            <w:vAlign w:val="center"/>
          </w:tcPr>
          <w:p>
            <w:pPr>
              <w:ind w:firstLine="72" w:firstLineChars="3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每有1家维修业绩得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分，最高</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0" w:type="dxa"/>
            <w:vAlign w:val="center"/>
          </w:tcPr>
          <w:p>
            <w:pPr>
              <w:ind w:left="-376" w:leftChars="-171" w:firstLine="360" w:firstLineChars="15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36" w:type="dxa"/>
            <w:vAlign w:val="center"/>
          </w:tcPr>
          <w:p>
            <w:pPr>
              <w:ind w:left="-376" w:leftChars="-171" w:firstLine="360" w:firstLineChars="1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增值服务项目</w:t>
            </w:r>
          </w:p>
        </w:tc>
        <w:tc>
          <w:tcPr>
            <w:tcW w:w="4646"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eastAsia="zh-CN"/>
              </w:rPr>
              <w:t>具</w:t>
            </w:r>
            <w:r>
              <w:rPr>
                <w:rFonts w:hint="eastAsia" w:ascii="仿宋" w:hAnsi="仿宋" w:eastAsia="仿宋" w:cs="仿宋"/>
                <w:color w:val="auto"/>
                <w:sz w:val="24"/>
                <w:szCs w:val="24"/>
              </w:rPr>
              <w:t>有车辆保险、事故鉴定、车辆年审等增值项目</w:t>
            </w:r>
            <w:r>
              <w:rPr>
                <w:rFonts w:hint="eastAsia" w:ascii="仿宋" w:hAnsi="仿宋" w:eastAsia="仿宋" w:cs="仿宋"/>
                <w:color w:val="auto"/>
                <w:sz w:val="24"/>
                <w:szCs w:val="24"/>
                <w:lang w:eastAsia="zh-CN"/>
              </w:rPr>
              <w:t>（包括但</w:t>
            </w:r>
            <w:r>
              <w:rPr>
                <w:rFonts w:hint="eastAsia" w:ascii="仿宋" w:hAnsi="仿宋" w:eastAsia="仿宋" w:cs="仿宋"/>
                <w:color w:val="auto"/>
                <w:sz w:val="24"/>
                <w:szCs w:val="24"/>
              </w:rPr>
              <w:t>不限于到达抢修现场时间、驻点服务、车辆接送专有服务等），每有一项得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；（须提供承诺函加盖公章）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40" w:type="dxa"/>
            <w:vAlign w:val="center"/>
          </w:tcPr>
          <w:p>
            <w:pPr>
              <w:ind w:left="-376" w:leftChars="-171" w:firstLine="360" w:firstLineChars="15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036" w:type="dxa"/>
            <w:vAlign w:val="center"/>
          </w:tcPr>
          <w:p>
            <w:pPr>
              <w:ind w:left="-376" w:leftChars="-171" w:firstLine="360" w:firstLineChars="1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免费拖车服务承诺</w:t>
            </w:r>
          </w:p>
        </w:tc>
        <w:tc>
          <w:tcPr>
            <w:tcW w:w="4646"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承诺在</w:t>
            </w:r>
            <w:r>
              <w:rPr>
                <w:rFonts w:hint="eastAsia" w:ascii="仿宋" w:hAnsi="仿宋" w:eastAsia="仿宋" w:cs="仿宋"/>
                <w:color w:val="auto"/>
                <w:sz w:val="24"/>
                <w:szCs w:val="24"/>
                <w:lang w:eastAsia="zh-CN"/>
              </w:rPr>
              <w:t>汕尾</w:t>
            </w:r>
            <w:r>
              <w:rPr>
                <w:rFonts w:hint="eastAsia" w:ascii="仿宋" w:hAnsi="仿宋" w:eastAsia="仿宋" w:cs="仿宋"/>
                <w:color w:val="auto"/>
                <w:sz w:val="24"/>
                <w:szCs w:val="24"/>
              </w:rPr>
              <w:t>市行政区域范围内免费提供24小时拖车服务的，得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分；无：得0分。</w:t>
            </w:r>
            <w:r>
              <w:rPr>
                <w:rFonts w:hint="eastAsia" w:ascii="仿宋" w:hAnsi="仿宋" w:eastAsia="仿宋" w:cs="仿宋"/>
                <w:color w:val="auto"/>
                <w:sz w:val="24"/>
                <w:szCs w:val="24"/>
                <w:lang w:eastAsia="zh-CN"/>
              </w:rPr>
              <w:t>（须提供承诺函加盖公章）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40" w:type="dxa"/>
            <w:vAlign w:val="center"/>
          </w:tcPr>
          <w:p>
            <w:pPr>
              <w:ind w:left="-376" w:leftChars="-171" w:firstLine="360" w:firstLineChars="15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7</w:t>
            </w:r>
          </w:p>
        </w:tc>
        <w:tc>
          <w:tcPr>
            <w:tcW w:w="1036" w:type="dxa"/>
            <w:vAlign w:val="center"/>
          </w:tcPr>
          <w:p>
            <w:pPr>
              <w:ind w:left="-376" w:leftChars="-171" w:firstLine="360" w:firstLineChars="1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维修厂房占地面积</w:t>
            </w:r>
          </w:p>
        </w:tc>
        <w:tc>
          <w:tcPr>
            <w:tcW w:w="464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根据各投标人租赁或自有的维修厂房占地面积进行评比：</w:t>
            </w:r>
          </w:p>
          <w:p>
            <w:pPr>
              <w:rPr>
                <w:rFonts w:hint="eastAsia" w:ascii="仿宋" w:hAnsi="仿宋" w:eastAsia="仿宋" w:cs="仿宋"/>
                <w:color w:val="auto"/>
                <w:sz w:val="24"/>
                <w:szCs w:val="24"/>
              </w:rPr>
            </w:pPr>
            <w:r>
              <w:rPr>
                <w:rFonts w:hint="eastAsia" w:ascii="仿宋" w:hAnsi="仿宋" w:eastAsia="仿宋" w:cs="仿宋"/>
                <w:color w:val="auto"/>
                <w:sz w:val="24"/>
                <w:szCs w:val="24"/>
              </w:rPr>
              <w:t>厂房占地面积≥</w:t>
            </w:r>
            <w:r>
              <w:rPr>
                <w:rFonts w:hint="eastAsia" w:ascii="仿宋" w:hAnsi="仿宋" w:eastAsia="仿宋" w:cs="仿宋"/>
                <w:color w:val="auto"/>
                <w:sz w:val="24"/>
                <w:szCs w:val="24"/>
                <w:lang w:val="en-US" w:eastAsia="zh-CN"/>
              </w:rPr>
              <w:t>2000</w:t>
            </w:r>
            <w:r>
              <w:rPr>
                <w:rFonts w:hint="eastAsia" w:ascii="仿宋" w:hAnsi="仿宋" w:eastAsia="仿宋" w:cs="仿宋"/>
                <w:color w:val="auto"/>
                <w:sz w:val="24"/>
                <w:szCs w:val="24"/>
              </w:rPr>
              <w:t>平方米，得</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2000</w:t>
            </w:r>
            <w:r>
              <w:rPr>
                <w:rFonts w:hint="eastAsia" w:ascii="仿宋" w:hAnsi="仿宋" w:eastAsia="仿宋" w:cs="仿宋"/>
                <w:color w:val="auto"/>
                <w:sz w:val="24"/>
                <w:szCs w:val="24"/>
              </w:rPr>
              <w:t>平方米＞厂房占地面积≥</w:t>
            </w:r>
            <w:r>
              <w:rPr>
                <w:rFonts w:hint="eastAsia" w:ascii="仿宋" w:hAnsi="仿宋" w:eastAsia="仿宋" w:cs="仿宋"/>
                <w:color w:val="auto"/>
                <w:sz w:val="24"/>
                <w:szCs w:val="24"/>
                <w:lang w:val="en-US" w:eastAsia="zh-CN"/>
              </w:rPr>
              <w:t>1500</w:t>
            </w:r>
            <w:r>
              <w:rPr>
                <w:rFonts w:hint="eastAsia" w:ascii="仿宋" w:hAnsi="仿宋" w:eastAsia="仿宋" w:cs="仿宋"/>
                <w:color w:val="auto"/>
                <w:sz w:val="24"/>
                <w:szCs w:val="24"/>
              </w:rPr>
              <w:t>平方米，得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1500</w:t>
            </w:r>
            <w:r>
              <w:rPr>
                <w:rFonts w:hint="eastAsia" w:ascii="仿宋" w:hAnsi="仿宋" w:eastAsia="仿宋" w:cs="仿宋"/>
                <w:color w:val="auto"/>
                <w:sz w:val="24"/>
                <w:szCs w:val="24"/>
              </w:rPr>
              <w:t>平方米＞厂房占地面积≥</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平方米，得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平方米＞厂房占地面积≥</w:t>
            </w:r>
            <w:r>
              <w:rPr>
                <w:rFonts w:hint="eastAsia" w:ascii="仿宋" w:hAnsi="仿宋" w:eastAsia="仿宋" w:cs="仿宋"/>
                <w:color w:val="auto"/>
                <w:sz w:val="24"/>
                <w:szCs w:val="24"/>
                <w:lang w:val="en-US" w:eastAsia="zh-CN"/>
              </w:rPr>
              <w:t>500</w:t>
            </w:r>
            <w:r>
              <w:rPr>
                <w:rFonts w:hint="eastAsia" w:ascii="仿宋" w:hAnsi="仿宋" w:eastAsia="仿宋" w:cs="仿宋"/>
                <w:color w:val="auto"/>
                <w:sz w:val="24"/>
                <w:szCs w:val="24"/>
              </w:rPr>
              <w:t>平方米，得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rPr>
              <w:t>不具有维修厂房的得0分。</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注：投标人有多处维修点的可累计面积，以投标人提供的自有房产证或租赁合同复印件并加盖投标人公章为准。</w:t>
            </w:r>
          </w:p>
        </w:tc>
      </w:tr>
    </w:tbl>
    <w:p>
      <w:pPr>
        <w:pStyle w:val="29"/>
        <w:spacing w:before="0" w:beforeAutospacing="0" w:after="0" w:afterAutospacing="0" w:line="420" w:lineRule="atLeast"/>
        <w:textAlignment w:val="baseline"/>
        <w:rPr>
          <w:rFonts w:hint="eastAsia" w:ascii="仿宋" w:hAnsi="仿宋" w:eastAsia="仿宋" w:cs="仿宋"/>
          <w:b/>
          <w:color w:val="auto"/>
          <w:sz w:val="28"/>
          <w:szCs w:val="28"/>
        </w:rPr>
      </w:pPr>
    </w:p>
    <w:p>
      <w:pPr>
        <w:pStyle w:val="29"/>
        <w:spacing w:before="0" w:beforeAutospacing="0" w:after="0" w:afterAutospacing="0" w:line="420" w:lineRule="atLeast"/>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服务评分（</w:t>
      </w:r>
      <w:r>
        <w:rPr>
          <w:rFonts w:hint="eastAsia" w:ascii="仿宋" w:hAnsi="仿宋" w:eastAsia="仿宋" w:cs="仿宋"/>
          <w:b/>
          <w:color w:val="auto"/>
          <w:sz w:val="28"/>
          <w:szCs w:val="28"/>
          <w:lang w:val="en-US" w:eastAsia="zh-CN"/>
        </w:rPr>
        <w:t>35</w:t>
      </w:r>
      <w:r>
        <w:rPr>
          <w:rFonts w:hint="eastAsia" w:ascii="仿宋" w:hAnsi="仿宋" w:eastAsia="仿宋" w:cs="仿宋"/>
          <w:b/>
          <w:color w:val="auto"/>
          <w:sz w:val="28"/>
          <w:szCs w:val="28"/>
        </w:rPr>
        <w:t>分）</w:t>
      </w:r>
    </w:p>
    <w:tbl>
      <w:tblPr>
        <w:tblStyle w:val="33"/>
        <w:tblW w:w="846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036"/>
        <w:gridCol w:w="1843"/>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40" w:type="dxa"/>
            <w:vAlign w:val="center"/>
          </w:tcPr>
          <w:p>
            <w:pPr>
              <w:ind w:left="-376" w:leftChars="-171" w:firstLine="360" w:firstLineChars="15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036" w:type="dxa"/>
            <w:vAlign w:val="center"/>
          </w:tcPr>
          <w:p>
            <w:pPr>
              <w:ind w:left="-376" w:leftChars="-171" w:firstLine="360" w:firstLineChars="1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服务便利性</w:t>
            </w:r>
          </w:p>
        </w:tc>
        <w:tc>
          <w:tcPr>
            <w:tcW w:w="4646" w:type="dxa"/>
            <w:vAlign w:val="center"/>
          </w:tcPr>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根据各供应商维修点对本项目实施的便利性、到达</w:t>
            </w:r>
            <w:r>
              <w:rPr>
                <w:rFonts w:hint="eastAsia" w:ascii="仿宋" w:hAnsi="仿宋" w:eastAsia="仿宋" w:cs="仿宋"/>
                <w:color w:val="auto"/>
                <w:sz w:val="24"/>
                <w:szCs w:val="24"/>
                <w:lang w:val="en-US" w:eastAsia="zh-CN"/>
              </w:rPr>
              <w:t>深汕中心医院</w:t>
            </w:r>
            <w:r>
              <w:rPr>
                <w:rFonts w:hint="eastAsia" w:ascii="仿宋" w:hAnsi="仿宋" w:eastAsia="仿宋" w:cs="仿宋"/>
                <w:color w:val="auto"/>
                <w:sz w:val="24"/>
                <w:szCs w:val="24"/>
                <w:lang w:eastAsia="zh-CN"/>
              </w:rPr>
              <w:t>时间等进行对比：</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1.到达时间≤</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分钟得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分钟&lt;到达时间≤</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分钟得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分钟&lt;到达时间≤</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分钟得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4.其他得</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.以百度地图工作日时段内测算的最短驾车时间为准，附页面截图；</w:t>
            </w:r>
          </w:p>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未提供或提供证明材料不符合要求的不得分。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40" w:type="dxa"/>
            <w:vAlign w:val="center"/>
          </w:tcPr>
          <w:p>
            <w:pPr>
              <w:ind w:left="-376" w:leftChars="-171" w:firstLine="360" w:firstLineChars="1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36" w:type="dxa"/>
            <w:vAlign w:val="center"/>
          </w:tcPr>
          <w:p>
            <w:pPr>
              <w:ind w:left="-376" w:leftChars="-171" w:firstLine="360" w:firstLineChars="1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分</w:t>
            </w:r>
          </w:p>
        </w:tc>
        <w:tc>
          <w:tcPr>
            <w:tcW w:w="1843"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拟投入设备</w:t>
            </w:r>
          </w:p>
        </w:tc>
        <w:tc>
          <w:tcPr>
            <w:tcW w:w="4646"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具有车身及车架检测、整形设备，汽车电控系统检测诊断设备，车辆举升设备，适用高强度钢惰性气体保护焊接设备，外出急修设备，每具备一项得2分，最高得</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分。</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注：须提供维修机构现场实物、实景照片作为证明材料，不提供不得分。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40" w:type="dxa"/>
            <w:vAlign w:val="center"/>
          </w:tcPr>
          <w:p>
            <w:pPr>
              <w:ind w:left="-376" w:leftChars="-171" w:firstLine="360" w:firstLineChars="1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36" w:type="dxa"/>
            <w:vAlign w:val="center"/>
          </w:tcPr>
          <w:p>
            <w:pPr>
              <w:ind w:left="-376" w:leftChars="-171" w:firstLine="360" w:firstLineChars="1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w:t>
            </w:r>
          </w:p>
        </w:tc>
        <w:tc>
          <w:tcPr>
            <w:tcW w:w="1843"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服务方案</w:t>
            </w:r>
          </w:p>
        </w:tc>
        <w:tc>
          <w:tcPr>
            <w:tcW w:w="4646" w:type="dxa"/>
            <w:vAlign w:val="center"/>
          </w:tcPr>
          <w:p>
            <w:pPr>
              <w:rPr>
                <w:rFonts w:hint="eastAsia" w:ascii="仿宋" w:hAnsi="仿宋" w:eastAsia="仿宋" w:cs="仿宋"/>
                <w:sz w:val="24"/>
                <w:szCs w:val="24"/>
              </w:rPr>
            </w:pPr>
            <w:r>
              <w:rPr>
                <w:rFonts w:hint="eastAsia" w:ascii="仿宋" w:hAnsi="仿宋" w:eastAsia="仿宋" w:cs="仿宋"/>
                <w:sz w:val="24"/>
                <w:szCs w:val="24"/>
              </w:rPr>
              <w:t>根据各投标人对汽车维修总体服务方案，实施计划进行评比：</w:t>
            </w:r>
          </w:p>
          <w:p>
            <w:pPr>
              <w:rPr>
                <w:rFonts w:hint="eastAsia" w:ascii="仿宋" w:hAnsi="仿宋" w:eastAsia="仿宋" w:cs="仿宋"/>
                <w:sz w:val="24"/>
                <w:szCs w:val="24"/>
              </w:rPr>
            </w:pPr>
            <w:r>
              <w:rPr>
                <w:rFonts w:hint="eastAsia" w:ascii="仿宋" w:hAnsi="仿宋" w:eastAsia="仿宋" w:cs="仿宋"/>
                <w:sz w:val="24"/>
                <w:szCs w:val="24"/>
              </w:rPr>
              <w:t>汽车维修总体服务方案及实施计划非常完善、非常有针对性、可操作性最强的得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汽车维修总体服务方案及实施计划基本完善、有针对性、有可操作性的得</w:t>
            </w:r>
            <w:r>
              <w:rPr>
                <w:rFonts w:hint="eastAsia" w:ascii="仿宋" w:hAnsi="仿宋" w:eastAsia="仿宋" w:cs="仿宋"/>
                <w:sz w:val="24"/>
                <w:szCs w:val="24"/>
                <w:lang w:val="en-US" w:eastAsia="zh-CN"/>
              </w:rPr>
              <w:t>7</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汽车维修总体服务方案及实施计划不完善、没有针对性、没有可操作性的得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rPr>
                <w:rFonts w:hint="eastAsia" w:ascii="仿宋" w:hAnsi="仿宋" w:eastAsia="仿宋" w:cs="仿宋"/>
              </w:rPr>
            </w:pPr>
            <w:r>
              <w:rPr>
                <w:rFonts w:hint="eastAsia" w:ascii="仿宋" w:hAnsi="仿宋" w:eastAsia="仿宋" w:cs="仿宋"/>
                <w:sz w:val="24"/>
                <w:szCs w:val="24"/>
              </w:rPr>
              <w:t>汽车维修总体服务方案及实施计划</w:t>
            </w:r>
            <w:r>
              <w:rPr>
                <w:rFonts w:hint="eastAsia" w:ascii="仿宋" w:hAnsi="仿宋" w:eastAsia="仿宋" w:cs="仿宋"/>
                <w:sz w:val="24"/>
                <w:szCs w:val="24"/>
                <w:lang w:eastAsia="zh-CN"/>
              </w:rPr>
              <w:t>差</w:t>
            </w:r>
            <w:r>
              <w:rPr>
                <w:rFonts w:hint="eastAsia" w:ascii="仿宋" w:hAnsi="仿宋" w:eastAsia="仿宋" w:cs="仿宋"/>
                <w:sz w:val="24"/>
                <w:szCs w:val="24"/>
              </w:rPr>
              <w:t>、</w:t>
            </w:r>
            <w:r>
              <w:rPr>
                <w:rFonts w:hint="eastAsia" w:ascii="仿宋" w:hAnsi="仿宋" w:eastAsia="仿宋" w:cs="仿宋"/>
                <w:sz w:val="24"/>
                <w:szCs w:val="24"/>
                <w:lang w:eastAsia="zh-CN"/>
              </w:rPr>
              <w:t>完全没有</w:t>
            </w:r>
            <w:r>
              <w:rPr>
                <w:rFonts w:hint="eastAsia" w:ascii="仿宋" w:hAnsi="仿宋" w:eastAsia="仿宋" w:cs="仿宋"/>
                <w:sz w:val="24"/>
                <w:szCs w:val="24"/>
              </w:rPr>
              <w:t>针对性、没有可操作性的得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未提供服务方案或实施计划的得</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40" w:type="dxa"/>
            <w:vAlign w:val="center"/>
          </w:tcPr>
          <w:p>
            <w:pPr>
              <w:ind w:left="-376" w:leftChars="-171" w:firstLine="360" w:firstLineChars="1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36" w:type="dxa"/>
            <w:vAlign w:val="center"/>
          </w:tcPr>
          <w:p>
            <w:pPr>
              <w:ind w:left="-376" w:leftChars="-171" w:firstLine="360" w:firstLineChars="1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9分</w:t>
            </w:r>
          </w:p>
        </w:tc>
        <w:tc>
          <w:tcPr>
            <w:tcW w:w="184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应急处理措施方案</w:t>
            </w:r>
          </w:p>
        </w:tc>
        <w:tc>
          <w:tcPr>
            <w:tcW w:w="4646" w:type="dxa"/>
            <w:vAlign w:val="center"/>
          </w:tcPr>
          <w:p>
            <w:pPr>
              <w:rPr>
                <w:rFonts w:hint="eastAsia" w:ascii="仿宋" w:hAnsi="仿宋" w:eastAsia="仿宋" w:cs="仿宋"/>
                <w:lang w:val="en-US" w:eastAsia="zh-CN"/>
              </w:rPr>
            </w:pPr>
            <w:r>
              <w:rPr>
                <w:rFonts w:hint="eastAsia" w:ascii="仿宋" w:hAnsi="仿宋" w:eastAsia="仿宋" w:cs="仿宋"/>
                <w:lang w:val="en-US" w:eastAsia="zh-CN"/>
              </w:rPr>
              <w:t>根据各投标人对采购人车辆送修服务及服务电话接听响应的时间快慢，以及对定点汽车维修总体应急处理措施方案的合理性及可行性进行评比：</w:t>
            </w:r>
          </w:p>
          <w:p>
            <w:pPr>
              <w:rPr>
                <w:rFonts w:hint="eastAsia" w:ascii="仿宋" w:hAnsi="仿宋" w:eastAsia="仿宋" w:cs="仿宋"/>
                <w:lang w:val="en-US" w:eastAsia="zh-CN"/>
              </w:rPr>
            </w:pPr>
            <w:r>
              <w:rPr>
                <w:rFonts w:hint="eastAsia" w:ascii="仿宋" w:hAnsi="仿宋" w:eastAsia="仿宋" w:cs="仿宋"/>
                <w:lang w:val="en-US" w:eastAsia="zh-CN"/>
              </w:rPr>
              <w:t>响应时间非常短、总体应急措施方案非常合理，方案可行性非常高，得9分；</w:t>
            </w:r>
          </w:p>
          <w:p>
            <w:pPr>
              <w:rPr>
                <w:rFonts w:hint="eastAsia" w:ascii="仿宋" w:hAnsi="仿宋" w:eastAsia="仿宋" w:cs="仿宋"/>
                <w:lang w:val="en-US" w:eastAsia="zh-CN"/>
              </w:rPr>
            </w:pPr>
            <w:r>
              <w:rPr>
                <w:rFonts w:hint="eastAsia" w:ascii="仿宋" w:hAnsi="仿宋" w:eastAsia="仿宋" w:cs="仿宋"/>
                <w:lang w:val="en-US" w:eastAsia="zh-CN"/>
              </w:rPr>
              <w:t>响应时间短、总体应急措施方案合理，可行性高，得6分；</w:t>
            </w:r>
          </w:p>
          <w:p>
            <w:pPr>
              <w:rPr>
                <w:rFonts w:hint="eastAsia" w:ascii="仿宋" w:hAnsi="仿宋" w:eastAsia="仿宋" w:cs="仿宋"/>
                <w:lang w:val="en-US" w:eastAsia="zh-CN"/>
              </w:rPr>
            </w:pPr>
            <w:r>
              <w:rPr>
                <w:rFonts w:hint="eastAsia" w:ascii="仿宋" w:hAnsi="仿宋" w:eastAsia="仿宋" w:cs="仿宋"/>
                <w:lang w:val="en-US" w:eastAsia="zh-CN"/>
              </w:rPr>
              <w:t>响应时间较短、总体应急措施方案较合理，可行性较高，得3分；</w:t>
            </w:r>
          </w:p>
          <w:p>
            <w:pPr>
              <w:rPr>
                <w:rFonts w:hint="eastAsia" w:ascii="仿宋" w:hAnsi="仿宋" w:eastAsia="仿宋" w:cs="仿宋"/>
                <w:lang w:val="en-US" w:eastAsia="zh-CN"/>
              </w:rPr>
            </w:pPr>
            <w:r>
              <w:rPr>
                <w:rFonts w:hint="eastAsia" w:ascii="仿宋" w:hAnsi="仿宋" w:eastAsia="仿宋" w:cs="仿宋"/>
                <w:lang w:val="en-US" w:eastAsia="zh-CN"/>
              </w:rPr>
              <w:t>响应时间长或总体应急措施方案不合理或可行性差，得1分。</w:t>
            </w:r>
          </w:p>
          <w:p>
            <w:pPr>
              <w:pStyle w:val="2"/>
              <w:ind w:left="0" w:leftChars="0" w:firstLine="0" w:firstLineChars="0"/>
              <w:rPr>
                <w:rFonts w:hint="eastAsia" w:ascii="仿宋" w:hAnsi="仿宋" w:eastAsia="仿宋" w:cs="仿宋"/>
              </w:rPr>
            </w:pPr>
            <w:r>
              <w:rPr>
                <w:rFonts w:hint="eastAsia" w:ascii="仿宋" w:hAnsi="仿宋" w:eastAsia="仿宋" w:cs="仿宋"/>
                <w:b w:val="0"/>
                <w:bCs/>
                <w:kern w:val="2"/>
                <w:sz w:val="21"/>
                <w:szCs w:val="24"/>
                <w:lang w:val="en-US" w:eastAsia="zh-CN" w:bidi="ar-SA"/>
              </w:rPr>
              <w:t>未提供响应时间长或总体应急措施方案的得0分。</w:t>
            </w:r>
          </w:p>
        </w:tc>
      </w:tr>
    </w:tbl>
    <w:p>
      <w:pPr>
        <w:tabs>
          <w:tab w:val="left" w:pos="0"/>
          <w:tab w:val="left" w:pos="720"/>
          <w:tab w:val="left" w:pos="1080"/>
        </w:tabs>
        <w:spacing w:line="360" w:lineRule="auto"/>
        <w:jc w:val="both"/>
        <w:rPr>
          <w:rFonts w:hint="eastAsia" w:ascii="仿宋" w:hAnsi="仿宋" w:eastAsia="仿宋" w:cs="仿宋"/>
          <w:b/>
          <w:sz w:val="28"/>
          <w:szCs w:val="28"/>
        </w:rPr>
      </w:pPr>
    </w:p>
    <w:p>
      <w:pPr>
        <w:tabs>
          <w:tab w:val="left" w:pos="0"/>
          <w:tab w:val="left" w:pos="720"/>
          <w:tab w:val="left" w:pos="1080"/>
        </w:tabs>
        <w:spacing w:line="360" w:lineRule="auto"/>
        <w:jc w:val="both"/>
        <w:rPr>
          <w:rFonts w:ascii="仿宋" w:hAnsi="仿宋" w:eastAsia="仿宋" w:cs="仿宋"/>
          <w:b/>
          <w:sz w:val="28"/>
          <w:szCs w:val="28"/>
        </w:rPr>
      </w:pPr>
      <w:r>
        <w:rPr>
          <w:rFonts w:hint="eastAsia" w:ascii="仿宋" w:hAnsi="仿宋" w:eastAsia="仿宋" w:cs="仿宋"/>
          <w:b/>
          <w:sz w:val="28"/>
          <w:szCs w:val="28"/>
        </w:rPr>
        <w:t>价格评审得分（30分）</w:t>
      </w:r>
    </w:p>
    <w:p>
      <w:pPr>
        <w:tabs>
          <w:tab w:val="left" w:pos="0"/>
          <w:tab w:val="left" w:pos="720"/>
          <w:tab w:val="left" w:pos="1080"/>
        </w:tabs>
        <w:spacing w:line="360" w:lineRule="auto"/>
        <w:ind w:firstLine="480" w:firstLineChars="200"/>
        <w:jc w:val="both"/>
        <w:rPr>
          <w:rFonts w:ascii="仿宋" w:hAnsi="仿宋" w:eastAsia="仿宋" w:cs="仿宋"/>
          <w:b/>
          <w:sz w:val="28"/>
          <w:szCs w:val="28"/>
        </w:rPr>
      </w:pPr>
      <w:r>
        <w:rPr>
          <w:rFonts w:hint="eastAsia" w:ascii="仿宋" w:hAnsi="仿宋" w:eastAsia="仿宋" w:cs="仿宋"/>
          <w:sz w:val="24"/>
          <w:szCs w:val="24"/>
        </w:rPr>
        <w:t>价格分统一采用低价优先法计算，即满足招标文件要求且数值最高的工时费优惠率、数值最低的管理费率为评标基准费率，其价格分为满分。其他投标人的价格分统一按照下列公式计算：</w:t>
      </w:r>
    </w:p>
    <w:p>
      <w:pPr>
        <w:pStyle w:val="5"/>
        <w:tabs>
          <w:tab w:val="clear" w:pos="851"/>
        </w:tabs>
        <w:rPr>
          <w:rFonts w:ascii="仿宋" w:hAnsi="仿宋" w:eastAsia="仿宋" w:cs="仿宋"/>
          <w:kern w:val="0"/>
          <w:sz w:val="24"/>
          <w:szCs w:val="24"/>
          <w:lang w:val="en-US"/>
        </w:rPr>
      </w:pPr>
      <w:r>
        <w:rPr>
          <w:rFonts w:hint="eastAsia" w:ascii="仿宋" w:hAnsi="仿宋" w:eastAsia="仿宋" w:cs="仿宋"/>
          <w:kern w:val="0"/>
          <w:sz w:val="24"/>
          <w:szCs w:val="24"/>
          <w:lang w:val="en-US"/>
        </w:rPr>
        <w:t>维修项目工时费优惠率报价得分＝(1－评标基准费率)/（1－投标工时费优惠率)×15分</w:t>
      </w:r>
    </w:p>
    <w:p>
      <w:pPr>
        <w:pStyle w:val="5"/>
        <w:tabs>
          <w:tab w:val="left" w:pos="540"/>
          <w:tab w:val="clear" w:pos="851"/>
        </w:tabs>
        <w:rPr>
          <w:rFonts w:ascii="仿宋" w:hAnsi="仿宋" w:eastAsia="仿宋" w:cs="仿宋"/>
          <w:kern w:val="0"/>
          <w:sz w:val="24"/>
          <w:szCs w:val="24"/>
          <w:lang w:val="en-US"/>
        </w:rPr>
      </w:pPr>
      <w:r>
        <w:rPr>
          <w:rFonts w:hint="eastAsia" w:ascii="仿宋" w:hAnsi="仿宋" w:eastAsia="仿宋" w:cs="仿宋"/>
          <w:kern w:val="0"/>
          <w:sz w:val="24"/>
          <w:szCs w:val="24"/>
          <w:lang w:val="en-US"/>
        </w:rPr>
        <w:t>维修材料管理费率报价得分＝(1＋评标基准费率)/（1＋投标管理费率)×15分</w:t>
      </w:r>
    </w:p>
    <w:p>
      <w:pPr>
        <w:pStyle w:val="5"/>
        <w:tabs>
          <w:tab w:val="left" w:pos="540"/>
          <w:tab w:val="clear" w:pos="851"/>
        </w:tabs>
        <w:rPr>
          <w:rFonts w:ascii="仿宋" w:hAnsi="仿宋" w:eastAsia="仿宋" w:cs="仿宋"/>
          <w:kern w:val="0"/>
          <w:sz w:val="24"/>
          <w:szCs w:val="24"/>
          <w:lang w:val="en-US"/>
        </w:rPr>
      </w:pPr>
      <w:r>
        <w:rPr>
          <w:rFonts w:hint="eastAsia" w:ascii="仿宋" w:hAnsi="仿宋" w:eastAsia="仿宋" w:cs="仿宋"/>
          <w:kern w:val="0"/>
          <w:sz w:val="24"/>
          <w:szCs w:val="24"/>
          <w:lang w:val="en-US"/>
        </w:rPr>
        <w:t>价格评分＝维修项目工时费优惠率报价得分＋维修材料管理费率报价得分</w:t>
      </w:r>
    </w:p>
    <w:p>
      <w:pPr>
        <w:pStyle w:val="7"/>
        <w:rPr>
          <w:rFonts w:ascii="仿宋" w:hAnsi="仿宋" w:eastAsia="仿宋" w:cs="仿宋"/>
        </w:rPr>
      </w:pPr>
    </w:p>
    <w:p>
      <w:pPr>
        <w:pStyle w:val="7"/>
        <w:rPr>
          <w:rFonts w:ascii="仿宋" w:hAnsi="仿宋" w:eastAsia="仿宋" w:cs="仿宋"/>
        </w:rPr>
      </w:pPr>
    </w:p>
    <w:p>
      <w:pPr>
        <w:pStyle w:val="7"/>
        <w:rPr>
          <w:rFonts w:ascii="仿宋" w:hAnsi="仿宋" w:eastAsia="仿宋" w:cs="仿宋"/>
        </w:rPr>
      </w:pPr>
    </w:p>
    <w:p>
      <w:pPr>
        <w:pStyle w:val="7"/>
        <w:rPr>
          <w:rFonts w:ascii="仿宋" w:hAnsi="仿宋" w:eastAsia="仿宋" w:cs="仿宋"/>
        </w:rPr>
      </w:pPr>
    </w:p>
    <w:p>
      <w:pPr>
        <w:pStyle w:val="7"/>
        <w:rPr>
          <w:rFonts w:ascii="仿宋" w:hAnsi="仿宋" w:eastAsia="仿宋" w:cs="仿宋"/>
        </w:rPr>
      </w:pPr>
    </w:p>
    <w:p>
      <w:pPr>
        <w:pStyle w:val="7"/>
        <w:rPr>
          <w:rFonts w:ascii="仿宋" w:hAnsi="仿宋" w:eastAsia="仿宋" w:cs="仿宋"/>
        </w:rPr>
      </w:pPr>
    </w:p>
    <w:p>
      <w:pPr>
        <w:pStyle w:val="7"/>
        <w:rPr>
          <w:rFonts w:ascii="仿宋" w:hAnsi="仿宋" w:eastAsia="仿宋" w:cs="仿宋"/>
        </w:rPr>
      </w:pPr>
    </w:p>
    <w:p>
      <w:pPr>
        <w:spacing w:line="500" w:lineRule="exact"/>
        <w:rPr>
          <w:rFonts w:ascii="仿宋" w:hAnsi="仿宋" w:eastAsia="仿宋" w:cs="仿宋"/>
          <w:b/>
          <w:sz w:val="32"/>
          <w:szCs w:val="32"/>
        </w:rPr>
      </w:pPr>
      <w:r>
        <w:rPr>
          <w:rFonts w:hint="eastAsia" w:ascii="仿宋" w:hAnsi="仿宋" w:eastAsia="仿宋" w:cs="仿宋"/>
          <w:b/>
          <w:sz w:val="32"/>
          <w:szCs w:val="32"/>
        </w:rPr>
        <w:t>附件四：合同格式</w:t>
      </w:r>
    </w:p>
    <w:p>
      <w:pPr>
        <w:spacing w:line="500" w:lineRule="exact"/>
        <w:rPr>
          <w:rFonts w:ascii="仿宋" w:hAnsi="仿宋" w:eastAsia="仿宋" w:cs="仿宋"/>
          <w:b/>
          <w:sz w:val="36"/>
          <w:szCs w:val="36"/>
        </w:rPr>
      </w:pPr>
    </w:p>
    <w:p>
      <w:pPr>
        <w:spacing w:line="500" w:lineRule="exact"/>
        <w:jc w:val="center"/>
        <w:rPr>
          <w:rFonts w:ascii="仿宋" w:hAnsi="仿宋" w:eastAsia="仿宋" w:cs="仿宋"/>
          <w:b/>
          <w:sz w:val="36"/>
          <w:szCs w:val="36"/>
        </w:rPr>
      </w:pPr>
      <w:r>
        <w:rPr>
          <w:rFonts w:hint="eastAsia" w:ascii="仿宋" w:hAnsi="仿宋" w:eastAsia="仿宋" w:cs="仿宋"/>
          <w:b/>
          <w:sz w:val="36"/>
          <w:szCs w:val="36"/>
        </w:rPr>
        <w:t>中山大学孙逸仙纪念医院深汕中心医院车辆定点维修服务协议书</w:t>
      </w:r>
    </w:p>
    <w:p>
      <w:pPr>
        <w:spacing w:line="500" w:lineRule="exact"/>
        <w:jc w:val="center"/>
        <w:rPr>
          <w:rFonts w:ascii="仿宋" w:hAnsi="仿宋" w:eastAsia="仿宋" w:cs="仿宋"/>
          <w:bCs/>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甲方：中山大学孙逸仙纪念医院深汕中心医院</w:t>
      </w:r>
    </w:p>
    <w:p>
      <w:pPr>
        <w:spacing w:line="500" w:lineRule="exact"/>
        <w:rPr>
          <w:rFonts w:ascii="仿宋" w:hAnsi="仿宋" w:eastAsia="仿宋" w:cs="仿宋"/>
          <w:sz w:val="28"/>
          <w:szCs w:val="28"/>
        </w:rPr>
      </w:pPr>
      <w:r>
        <w:rPr>
          <w:rFonts w:hint="eastAsia" w:ascii="仿宋" w:hAnsi="仿宋" w:eastAsia="仿宋" w:cs="仿宋"/>
          <w:sz w:val="28"/>
          <w:szCs w:val="28"/>
        </w:rPr>
        <w:t xml:space="preserve">乙方： </w:t>
      </w:r>
    </w:p>
    <w:p>
      <w:pPr>
        <w:spacing w:line="500" w:lineRule="exact"/>
        <w:ind w:firstLine="574" w:firstLineChars="205"/>
        <w:rPr>
          <w:rFonts w:ascii="仿宋" w:hAnsi="仿宋" w:eastAsia="仿宋" w:cs="仿宋"/>
          <w:sz w:val="28"/>
          <w:szCs w:val="28"/>
        </w:rPr>
      </w:pPr>
      <w:r>
        <w:rPr>
          <w:rFonts w:hint="eastAsia" w:ascii="仿宋" w:hAnsi="仿宋" w:eastAsia="仿宋" w:cs="仿宋"/>
          <w:sz w:val="28"/>
          <w:szCs w:val="28"/>
        </w:rPr>
        <w:t>甲乙双方经友好协商，在严格执行《中华人民共和国民法典》、及行业标准的基础上，达成以下车辆维修保养承包协议，供双方共同遵守执行。</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rPr>
        <w:t>一、车辆维修保养范围：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甲方单位所有车辆：轿车、救护车等。</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rPr>
        <w:t>二、车辆维修保养服务项目：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汽车的日常维修保养、一级维护、二级维护；汽车大修、总成修理、汽车小修和汽车专项修理、24小时拖车服务、车辆清洗美容、代办车辆年审、车辆保险出险、理赔等一条龙服务。</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rPr>
        <w:t>三、甲方义务：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1、提供甲方定点维修车辆号牌一览表给乙方备案，超出一览表号牌范围车辆不属于甲方车辆维修范围。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2、甲方车辆需要维修时，开具维修申请单交乙方，乙方根据维修申请单对车辆进行检查并将维修价格清单报甲方，经甲方负责人签字后才能修理。</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rPr>
        <w:t>3、甲方不得将贵重物品放在送修车辆内。</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rPr>
        <w:t>四、乙方义务：</w:t>
      </w:r>
    </w:p>
    <w:p>
      <w:pPr>
        <w:spacing w:line="500" w:lineRule="exact"/>
        <w:ind w:left="147" w:leftChars="67" w:firstLine="420" w:firstLineChars="150"/>
        <w:rPr>
          <w:rFonts w:ascii="仿宋" w:hAnsi="仿宋" w:eastAsia="仿宋" w:cs="仿宋"/>
          <w:sz w:val="28"/>
          <w:szCs w:val="28"/>
        </w:rPr>
      </w:pPr>
      <w:r>
        <w:rPr>
          <w:rFonts w:hint="eastAsia" w:ascii="仿宋" w:hAnsi="仿宋" w:eastAsia="仿宋" w:cs="仿宋"/>
          <w:sz w:val="28"/>
          <w:szCs w:val="28"/>
        </w:rPr>
        <w:t>1、对甲方送修的车辆乙方应以修复为主，能不更换的零部件尽量不予更换，确实不能修复或修复不经济的零部件，在征得甲方同意的情况下，方可进行更换。</w:t>
      </w:r>
    </w:p>
    <w:p>
      <w:pPr>
        <w:spacing w:line="500" w:lineRule="exact"/>
        <w:ind w:left="147" w:leftChars="67" w:firstLine="420" w:firstLineChars="150"/>
        <w:rPr>
          <w:rFonts w:ascii="仿宋" w:hAnsi="仿宋" w:eastAsia="仿宋" w:cs="仿宋"/>
          <w:sz w:val="28"/>
          <w:szCs w:val="28"/>
        </w:rPr>
      </w:pPr>
      <w:r>
        <w:rPr>
          <w:rFonts w:hint="eastAsia" w:ascii="仿宋" w:hAnsi="仿宋" w:eastAsia="仿宋" w:cs="仿宋"/>
          <w:sz w:val="28"/>
          <w:szCs w:val="28"/>
        </w:rPr>
        <w:t>2、乙方保证优先对甲方进厂车辆进行维修，在双方约定时间内保质保量完成车辆保养与维修，接受甲方的监督、检查，乙方需将新换上的配件和换下的配件拍照发给甲方，并将换下的配件交回乙方，并定期回访维修质量。</w:t>
      </w:r>
    </w:p>
    <w:p>
      <w:pPr>
        <w:spacing w:line="500" w:lineRule="exact"/>
        <w:ind w:left="147" w:leftChars="67" w:firstLine="420" w:firstLineChars="150"/>
        <w:rPr>
          <w:rFonts w:ascii="仿宋" w:hAnsi="仿宋" w:eastAsia="仿宋" w:cs="仿宋"/>
          <w:sz w:val="28"/>
          <w:szCs w:val="28"/>
        </w:rPr>
      </w:pPr>
      <w:r>
        <w:rPr>
          <w:rFonts w:hint="eastAsia" w:ascii="仿宋" w:hAnsi="仿宋" w:eastAsia="仿宋" w:cs="仿宋"/>
          <w:sz w:val="28"/>
          <w:szCs w:val="28"/>
        </w:rPr>
        <w:t>3、在维修过程中，乙方如发现其他故障需增加维修项目或延长维修时间，应及时打电话告之甲方，甲方同意后方可进行。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4、乙方维修完工的车辆，应保证维修质量，保修期按行业、国家标准执行，保修期内如确认为乙方维修过的项目出现返工，乙方应免费修复。 对维修好的车辆，如甲方发现维修不合格或维修项目与甲方维修申请单维修项目不相符，甲方有权要求乙方无偿维修至合格并按甲方维修申请单上的项目进行维修。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5、乙方使用的零部件、配件等材料必须符合国家相关标准原装正货，不得使用假冒伪劣产品或以次充好。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6、对甲方所有在本协议中备案的车辆提供市内24小时免费拖车服务。</w:t>
      </w:r>
    </w:p>
    <w:p>
      <w:pPr>
        <w:spacing w:line="500" w:lineRule="exact"/>
        <w:ind w:left="376" w:leftChars="171" w:firstLine="140" w:firstLineChars="50"/>
        <w:rPr>
          <w:rFonts w:ascii="仿宋" w:hAnsi="仿宋" w:eastAsia="仿宋" w:cs="仿宋"/>
          <w:sz w:val="28"/>
          <w:szCs w:val="28"/>
        </w:rPr>
      </w:pPr>
      <w:r>
        <w:rPr>
          <w:rFonts w:hint="eastAsia" w:ascii="仿宋" w:hAnsi="仿宋" w:eastAsia="仿宋" w:cs="仿宋"/>
          <w:sz w:val="28"/>
          <w:szCs w:val="28"/>
        </w:rPr>
        <w:t>7、乙方对甲方进修之车辆设立专门的“车辆维修档案”，并指派专人负责接待、咨询等各项工作，24小时手机保持畅通，在收到紧急抢修后必须在1小时内到达抢修现场，乙方应按时提醒甲方对车辆进行定期维修保养、年审、保险等事宜。</w:t>
      </w:r>
    </w:p>
    <w:p>
      <w:pPr>
        <w:widowControl w:val="0"/>
        <w:numPr>
          <w:ilvl w:val="0"/>
          <w:numId w:val="3"/>
        </w:numPr>
        <w:adjustRightInd/>
        <w:snapToGrid/>
        <w:spacing w:after="0" w:line="500" w:lineRule="exact"/>
        <w:jc w:val="both"/>
        <w:rPr>
          <w:rFonts w:ascii="仿宋" w:hAnsi="仿宋" w:eastAsia="仿宋" w:cs="仿宋"/>
          <w:sz w:val="28"/>
          <w:szCs w:val="28"/>
        </w:rPr>
      </w:pPr>
      <w:r>
        <w:rPr>
          <w:rFonts w:hint="eastAsia" w:ascii="仿宋" w:hAnsi="仿宋" w:eastAsia="仿宋" w:cs="仿宋"/>
          <w:sz w:val="28"/>
          <w:szCs w:val="28"/>
          <w:shd w:val="pct10" w:color="auto" w:fill="FFFFFF"/>
        </w:rPr>
        <w:t>乙方</w:t>
      </w:r>
      <w:r>
        <w:rPr>
          <w:rFonts w:hint="eastAsia" w:ascii="仿宋" w:hAnsi="仿宋" w:eastAsia="仿宋" w:cs="仿宋"/>
          <w:sz w:val="28"/>
          <w:szCs w:val="28"/>
        </w:rPr>
        <w:t>对承修车辆的保修期限：</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1、汽车小修自出厂之日起10天之内并且行驶里程不超过2000公里；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2、二级保养自出厂之日起30天之内并且行驶里程不超过5000公里；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3、汽车大修自出厂之日起100天内并且行驶里程不超过20000公里；</w:t>
      </w:r>
    </w:p>
    <w:p>
      <w:pPr>
        <w:spacing w:line="500" w:lineRule="exact"/>
        <w:ind w:firstLine="980" w:firstLineChars="350"/>
        <w:rPr>
          <w:rFonts w:ascii="仿宋" w:hAnsi="仿宋" w:eastAsia="仿宋" w:cs="仿宋"/>
          <w:sz w:val="28"/>
          <w:szCs w:val="28"/>
        </w:rPr>
      </w:pPr>
      <w:r>
        <w:rPr>
          <w:rFonts w:hint="eastAsia" w:ascii="仿宋" w:hAnsi="仿宋" w:eastAsia="仿宋" w:cs="仿宋"/>
          <w:sz w:val="28"/>
          <w:szCs w:val="28"/>
        </w:rPr>
        <w:t>以上期限之内出现属维修质量问题，乙方按规定负责保修。</w:t>
      </w:r>
    </w:p>
    <w:p>
      <w:pPr>
        <w:widowControl w:val="0"/>
        <w:numPr>
          <w:ilvl w:val="0"/>
          <w:numId w:val="3"/>
        </w:numPr>
        <w:adjustRightInd/>
        <w:snapToGrid/>
        <w:spacing w:after="0" w:line="500" w:lineRule="exact"/>
        <w:jc w:val="both"/>
        <w:rPr>
          <w:rFonts w:ascii="仿宋" w:hAnsi="仿宋" w:eastAsia="仿宋" w:cs="仿宋"/>
          <w:sz w:val="28"/>
          <w:szCs w:val="28"/>
        </w:rPr>
      </w:pPr>
      <w:r>
        <w:rPr>
          <w:rFonts w:hint="eastAsia" w:ascii="仿宋" w:hAnsi="仿宋" w:eastAsia="仿宋" w:cs="仿宋"/>
          <w:sz w:val="28"/>
          <w:szCs w:val="28"/>
        </w:rPr>
        <w:t>收费标准：收费标准：根据《深汕中心医院公务车维修项目工时费明细表》，维修项目工时费优惠率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%，维修材料管理费率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%收费。</w:t>
      </w:r>
    </w:p>
    <w:p>
      <w:pPr>
        <w:widowControl w:val="0"/>
        <w:numPr>
          <w:ilvl w:val="0"/>
          <w:numId w:val="3"/>
        </w:numPr>
        <w:adjustRightInd/>
        <w:snapToGrid/>
        <w:spacing w:after="0" w:line="500" w:lineRule="exact"/>
        <w:jc w:val="both"/>
        <w:rPr>
          <w:rFonts w:ascii="仿宋" w:hAnsi="仿宋" w:eastAsia="仿宋" w:cs="仿宋"/>
          <w:sz w:val="28"/>
          <w:szCs w:val="28"/>
        </w:rPr>
      </w:pPr>
      <w:r>
        <w:rPr>
          <w:rFonts w:hint="eastAsia" w:ascii="仿宋" w:hAnsi="仿宋" w:eastAsia="仿宋" w:cs="仿宋"/>
          <w:sz w:val="28"/>
          <w:szCs w:val="28"/>
        </w:rPr>
        <w:t>运作结算方式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1、甲方车辆送修时必须签约才能入厂（特殊情况可先用电话联络），竣工出厂时须请甲方提车司机在维修费用清单上签名确认。</w:t>
      </w:r>
    </w:p>
    <w:p>
      <w:pPr>
        <w:spacing w:line="500" w:lineRule="exact"/>
        <w:ind w:firstLine="560" w:firstLineChars="200"/>
        <w:rPr>
          <w:rStyle w:val="173"/>
          <w:rFonts w:ascii="仿宋" w:hAnsi="仿宋" w:eastAsia="仿宋" w:cs="仿宋"/>
          <w:color w:val="auto"/>
          <w:sz w:val="28"/>
          <w:szCs w:val="28"/>
        </w:rPr>
      </w:pPr>
      <w:r>
        <w:rPr>
          <w:rFonts w:hint="eastAsia" w:ascii="仿宋" w:hAnsi="仿宋" w:eastAsia="仿宋" w:cs="仿宋"/>
          <w:sz w:val="28"/>
          <w:szCs w:val="28"/>
        </w:rPr>
        <w:t xml:space="preserve">2、结算办法: </w:t>
      </w:r>
      <w:r>
        <w:rPr>
          <w:rStyle w:val="173"/>
          <w:rFonts w:hint="eastAsia" w:ascii="仿宋" w:hAnsi="仿宋" w:eastAsia="仿宋" w:cs="仿宋"/>
          <w:color w:val="auto"/>
          <w:sz w:val="28"/>
          <w:szCs w:val="28"/>
        </w:rPr>
        <w:t>乙方凭甲方开出的批单和其司机之前签认的修车费用清单，并开具发票，于每月15日前向甲方申请支付维修款。甲方收到发票后在每月30号准时按要求办理结算手续，逾期支付加收滞纳金每日为欠款的1%。</w:t>
      </w:r>
    </w:p>
    <w:p>
      <w:pPr>
        <w:tabs>
          <w:tab w:val="left" w:pos="780"/>
        </w:tabs>
        <w:spacing w:line="500" w:lineRule="exact"/>
        <w:ind w:left="420"/>
        <w:rPr>
          <w:rFonts w:ascii="仿宋" w:hAnsi="仿宋" w:eastAsia="仿宋" w:cs="仿宋"/>
          <w:sz w:val="28"/>
          <w:szCs w:val="28"/>
        </w:rPr>
      </w:pPr>
      <w:r>
        <w:rPr>
          <w:rFonts w:hint="eastAsia" w:ascii="仿宋" w:hAnsi="仿宋" w:eastAsia="仿宋" w:cs="仿宋"/>
          <w:sz w:val="28"/>
          <w:szCs w:val="28"/>
        </w:rPr>
        <w:t xml:space="preserve">3、乙方开户名称： </w:t>
      </w:r>
    </w:p>
    <w:p>
      <w:pPr>
        <w:spacing w:line="500" w:lineRule="exact"/>
        <w:ind w:left="440" w:leftChars="200" w:firstLine="560" w:firstLineChars="200"/>
        <w:rPr>
          <w:rFonts w:ascii="仿宋" w:hAnsi="仿宋" w:eastAsia="仿宋" w:cs="仿宋"/>
          <w:sz w:val="28"/>
          <w:szCs w:val="28"/>
        </w:rPr>
      </w:pPr>
      <w:r>
        <w:rPr>
          <w:rFonts w:hint="eastAsia" w:ascii="仿宋" w:hAnsi="仿宋" w:eastAsia="仿宋" w:cs="仿宋"/>
          <w:sz w:val="28"/>
          <w:szCs w:val="28"/>
        </w:rPr>
        <w:t xml:space="preserve">开户银行： </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结算帐号：</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税号：</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 xml:space="preserve">联系人：             电话：  </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 xml:space="preserve">    4、 甲方联系人：             电话：</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lang w:val="en-US" w:eastAsia="zh-CN"/>
        </w:rPr>
        <w:t>八</w:t>
      </w:r>
      <w:r>
        <w:rPr>
          <w:rFonts w:hint="eastAsia" w:ascii="仿宋" w:hAnsi="仿宋" w:eastAsia="仿宋" w:cs="仿宋"/>
          <w:sz w:val="28"/>
          <w:szCs w:val="28"/>
        </w:rPr>
        <w:t>、违约责任：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1、如甲方送修车辆在乙方维修期间丢失或损毁，乙方承担全部赔偿责任。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2、乙方维修项目质量不合格，甲方有权要求乙方免费重修，直至质量合格为止；因维修项目质量不合格给甲方造成损失的，乙方还应赔偿甲方的全部损失。</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九</w:t>
      </w:r>
      <w:r>
        <w:rPr>
          <w:rFonts w:hint="eastAsia" w:ascii="仿宋" w:hAnsi="仿宋" w:eastAsia="仿宋" w:cs="仿宋"/>
          <w:sz w:val="28"/>
          <w:szCs w:val="28"/>
        </w:rPr>
        <w:t>、协议期限：从</w:t>
      </w:r>
      <w:r>
        <w:rPr>
          <w:rFonts w:hint="eastAsia" w:ascii="仿宋" w:hAnsi="仿宋" w:eastAsia="仿宋" w:cs="仿宋"/>
          <w:sz w:val="28"/>
          <w:szCs w:val="28"/>
          <w:u w:val="single"/>
        </w:rPr>
        <w:t>20   年  月  日起至20  年  月  日</w:t>
      </w:r>
      <w:r>
        <w:rPr>
          <w:rFonts w:hint="eastAsia" w:ascii="仿宋" w:hAnsi="仿宋" w:eastAsia="仿宋" w:cs="仿宋"/>
          <w:sz w:val="28"/>
          <w:szCs w:val="28"/>
        </w:rPr>
        <w:t>止，</w:t>
      </w:r>
      <w:r>
        <w:rPr>
          <w:rStyle w:val="173"/>
          <w:rFonts w:hint="eastAsia" w:ascii="仿宋" w:hAnsi="仿宋" w:eastAsia="仿宋" w:cs="仿宋"/>
          <w:color w:val="auto"/>
          <w:sz w:val="28"/>
          <w:szCs w:val="28"/>
        </w:rPr>
        <w:t>结算总额累计达到    元时，本合同终止。</w:t>
      </w:r>
      <w:r>
        <w:rPr>
          <w:rFonts w:hint="eastAsia" w:ascii="仿宋" w:hAnsi="仿宋" w:eastAsia="仿宋" w:cs="仿宋"/>
          <w:sz w:val="28"/>
          <w:szCs w:val="28"/>
        </w:rPr>
        <w:t>合同期内如一方要求中止协议，应提前60天以书面形式通知另一方。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十</w:t>
      </w:r>
      <w:r>
        <w:rPr>
          <w:rFonts w:hint="eastAsia" w:ascii="仿宋" w:hAnsi="仿宋" w:eastAsia="仿宋" w:cs="仿宋"/>
          <w:sz w:val="28"/>
          <w:szCs w:val="28"/>
        </w:rPr>
        <w:t>、争议的解决：</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如协议履行期间发生争议，双方应先协商解决，协商不成时，</w:t>
      </w:r>
      <w:r>
        <w:rPr>
          <w:rFonts w:hint="eastAsia" w:ascii="仿宋" w:hAnsi="仿宋" w:eastAsia="仿宋" w:cs="仿宋"/>
          <w:sz w:val="28"/>
          <w:szCs w:val="28"/>
          <w:highlight w:val="none"/>
        </w:rPr>
        <w:t>可向</w:t>
      </w:r>
      <w:r>
        <w:rPr>
          <w:rFonts w:hint="eastAsia" w:ascii="仿宋" w:hAnsi="仿宋" w:eastAsia="仿宋" w:cs="仿宋"/>
          <w:color w:val="auto"/>
          <w:sz w:val="28"/>
          <w:szCs w:val="28"/>
          <w:highlight w:val="none"/>
          <w:lang w:val="en-US" w:eastAsia="zh-CN"/>
        </w:rPr>
        <w:t>汕尾市</w:t>
      </w:r>
      <w:r>
        <w:rPr>
          <w:rFonts w:hint="eastAsia" w:ascii="仿宋" w:hAnsi="仿宋" w:eastAsia="仿宋" w:cs="仿宋"/>
          <w:sz w:val="28"/>
          <w:szCs w:val="28"/>
          <w:highlight w:val="none"/>
        </w:rPr>
        <w:t>人民法院提起诉讼。</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val="en-US" w:eastAsia="zh-CN"/>
        </w:rPr>
        <w:t>一</w:t>
      </w:r>
      <w:r>
        <w:rPr>
          <w:rFonts w:hint="eastAsia" w:ascii="仿宋" w:hAnsi="仿宋" w:eastAsia="仿宋" w:cs="仿宋"/>
          <w:sz w:val="28"/>
          <w:szCs w:val="28"/>
        </w:rPr>
        <w:t>、本协议一式伍份，甲方执肆份，乙方执壹份，具有同等法律效力，自双方签字盖章后正式生效。</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附件：收费标准：《深汕中心医院公务车维修项目工时费明细表》</w:t>
      </w:r>
    </w:p>
    <w:p>
      <w:pPr>
        <w:spacing w:line="500" w:lineRule="exact"/>
        <w:rPr>
          <w:rFonts w:ascii="仿宋" w:hAnsi="仿宋" w:eastAsia="仿宋" w:cs="仿宋"/>
          <w:sz w:val="28"/>
          <w:szCs w:val="28"/>
        </w:rPr>
      </w:pPr>
    </w:p>
    <w:p>
      <w:pPr>
        <w:spacing w:line="500" w:lineRule="exact"/>
        <w:ind w:left="5880" w:hanging="5880" w:hangingChars="2100"/>
        <w:rPr>
          <w:rFonts w:ascii="仿宋" w:hAnsi="仿宋" w:eastAsia="仿宋" w:cs="仿宋"/>
          <w:sz w:val="28"/>
          <w:szCs w:val="28"/>
        </w:rPr>
      </w:pPr>
      <w:r>
        <w:rPr>
          <w:rFonts w:hint="eastAsia" w:ascii="仿宋" w:hAnsi="仿宋" w:eastAsia="仿宋" w:cs="仿宋"/>
          <w:sz w:val="28"/>
          <w:szCs w:val="28"/>
        </w:rPr>
        <w:t>甲   方：中山大学孙逸仙纪念医院深汕中心医院</w:t>
      </w:r>
    </w:p>
    <w:p>
      <w:pPr>
        <w:spacing w:line="500" w:lineRule="exact"/>
        <w:rPr>
          <w:rFonts w:ascii="仿宋" w:hAnsi="仿宋" w:eastAsia="仿宋" w:cs="仿宋"/>
          <w:sz w:val="28"/>
          <w:szCs w:val="28"/>
        </w:rPr>
      </w:pPr>
      <w:r>
        <w:rPr>
          <w:rFonts w:hint="eastAsia" w:ascii="仿宋" w:hAnsi="仿宋" w:eastAsia="仿宋" w:cs="仿宋"/>
          <w:sz w:val="28"/>
          <w:szCs w:val="28"/>
        </w:rPr>
        <w:t>法人代表：                      法人代表：</w:t>
      </w:r>
    </w:p>
    <w:p>
      <w:pPr>
        <w:spacing w:line="500" w:lineRule="exact"/>
        <w:rPr>
          <w:rFonts w:ascii="仿宋" w:hAnsi="仿宋" w:eastAsia="仿宋" w:cs="仿宋"/>
          <w:sz w:val="28"/>
          <w:szCs w:val="28"/>
        </w:rPr>
      </w:pPr>
      <w:r>
        <w:rPr>
          <w:rFonts w:hint="eastAsia" w:ascii="仿宋" w:hAnsi="仿宋" w:eastAsia="仿宋" w:cs="仿宋"/>
          <w:sz w:val="28"/>
          <w:szCs w:val="28"/>
        </w:rPr>
        <w:t>签约代表：                      签约代表：</w:t>
      </w:r>
    </w:p>
    <w:p>
      <w:pPr>
        <w:spacing w:line="500" w:lineRule="exact"/>
        <w:rPr>
          <w:rFonts w:ascii="仿宋" w:hAnsi="仿宋" w:eastAsia="仿宋" w:cs="仿宋"/>
          <w:sz w:val="28"/>
          <w:szCs w:val="28"/>
        </w:rPr>
      </w:pPr>
      <w:r>
        <w:rPr>
          <w:rFonts w:hint="eastAsia" w:ascii="仿宋" w:hAnsi="仿宋" w:eastAsia="仿宋" w:cs="仿宋"/>
          <w:sz w:val="28"/>
          <w:szCs w:val="28"/>
        </w:rPr>
        <w:t>经 办 人：                      经 办 人：</w:t>
      </w:r>
    </w:p>
    <w:p>
      <w:pPr>
        <w:spacing w:line="500" w:lineRule="exact"/>
        <w:rPr>
          <w:rFonts w:ascii="仿宋" w:hAnsi="仿宋" w:eastAsia="仿宋" w:cs="仿宋"/>
          <w:sz w:val="28"/>
          <w:szCs w:val="28"/>
        </w:rPr>
      </w:pPr>
      <w:r>
        <w:rPr>
          <w:rFonts w:hint="eastAsia" w:ascii="仿宋" w:hAnsi="仿宋" w:eastAsia="仿宋" w:cs="仿宋"/>
          <w:sz w:val="28"/>
          <w:szCs w:val="28"/>
        </w:rPr>
        <w:t xml:space="preserve">地    址：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地    址：</w:t>
      </w:r>
    </w:p>
    <w:p>
      <w:pPr>
        <w:spacing w:line="500" w:lineRule="exact"/>
        <w:rPr>
          <w:rFonts w:ascii="仿宋" w:hAnsi="仿宋" w:eastAsia="仿宋" w:cs="仿宋"/>
          <w:sz w:val="28"/>
          <w:szCs w:val="28"/>
        </w:rPr>
      </w:pPr>
      <w:r>
        <w:rPr>
          <w:rFonts w:hint="eastAsia" w:ascii="仿宋" w:hAnsi="仿宋" w:eastAsia="仿宋" w:cs="仿宋"/>
          <w:sz w:val="28"/>
          <w:szCs w:val="28"/>
        </w:rPr>
        <w:t xml:space="preserve">联系电话：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联系电话：</w:t>
      </w:r>
    </w:p>
    <w:p>
      <w:pPr>
        <w:spacing w:line="500" w:lineRule="exact"/>
        <w:rPr>
          <w:rFonts w:ascii="仿宋" w:hAnsi="仿宋" w:eastAsia="仿宋" w:cs="仿宋"/>
          <w:sz w:val="28"/>
          <w:szCs w:val="28"/>
        </w:rPr>
      </w:pPr>
      <w:r>
        <w:rPr>
          <w:rFonts w:hint="eastAsia" w:ascii="仿宋" w:hAnsi="仿宋" w:eastAsia="仿宋" w:cs="仿宋"/>
          <w:sz w:val="28"/>
          <w:szCs w:val="28"/>
        </w:rPr>
        <w:t>日    期：                      日    期：</w:t>
      </w:r>
    </w:p>
    <w:p>
      <w:pPr>
        <w:pStyle w:val="4"/>
        <w:rPr>
          <w:rFonts w:ascii="仿宋" w:hAnsi="仿宋" w:eastAsia="仿宋" w:cs="仿宋"/>
          <w:sz w:val="28"/>
          <w:szCs w:val="28"/>
        </w:rPr>
      </w:pPr>
    </w:p>
    <w:p>
      <w:pPr>
        <w:pStyle w:val="4"/>
        <w:rPr>
          <w:rFonts w:ascii="仿宋" w:hAnsi="仿宋" w:eastAsia="仿宋" w:cs="仿宋"/>
          <w:sz w:val="28"/>
          <w:szCs w:val="28"/>
        </w:rPr>
      </w:pPr>
      <w:r>
        <w:rPr>
          <w:rFonts w:hint="eastAsia" w:ascii="仿宋" w:hAnsi="仿宋" w:eastAsia="仿宋" w:cs="仿宋"/>
          <w:sz w:val="28"/>
          <w:szCs w:val="28"/>
        </w:rPr>
        <w:t xml:space="preserve"> 乙  方：</w:t>
      </w:r>
    </w:p>
    <w:p>
      <w:pPr>
        <w:spacing w:line="500" w:lineRule="exact"/>
        <w:rPr>
          <w:rFonts w:ascii="仿宋" w:hAnsi="仿宋" w:eastAsia="仿宋" w:cs="仿宋"/>
          <w:sz w:val="28"/>
          <w:szCs w:val="28"/>
        </w:rPr>
      </w:pPr>
      <w:r>
        <w:rPr>
          <w:rFonts w:hint="eastAsia" w:ascii="仿宋" w:hAnsi="仿宋" w:eastAsia="仿宋" w:cs="仿宋"/>
          <w:sz w:val="28"/>
          <w:szCs w:val="28"/>
        </w:rPr>
        <w:t xml:space="preserve">法人代表：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签约代表：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经 办 人：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地    址：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联系电话：                 </w:t>
      </w:r>
    </w:p>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日    期：       </w:t>
      </w:r>
    </w:p>
    <w:p>
      <w:pPr>
        <w:spacing w:line="360" w:lineRule="auto"/>
        <w:ind w:firstLine="482" w:firstLineChars="200"/>
        <w:jc w:val="center"/>
        <w:rPr>
          <w:rFonts w:hint="eastAsia" w:ascii="仿宋" w:hAnsi="仿宋" w:eastAsia="仿宋" w:cs="仿宋"/>
          <w:b/>
          <w:bCs/>
          <w:sz w:val="24"/>
          <w:szCs w:val="24"/>
        </w:rPr>
      </w:pPr>
    </w:p>
    <w:p>
      <w:pPr>
        <w:spacing w:line="360" w:lineRule="auto"/>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w:t>
      </w:r>
    </w:p>
    <w:p>
      <w:pPr>
        <w:spacing w:line="360" w:lineRule="auto"/>
        <w:ind w:firstLine="482" w:firstLineChars="200"/>
        <w:jc w:val="center"/>
        <w:rPr>
          <w:rFonts w:ascii="仿宋" w:hAnsi="仿宋" w:eastAsia="仿宋" w:cs="仿宋"/>
          <w:b/>
          <w:bCs/>
          <w:sz w:val="24"/>
          <w:szCs w:val="24"/>
        </w:rPr>
      </w:pPr>
      <w:r>
        <w:rPr>
          <w:rFonts w:hint="eastAsia" w:ascii="仿宋" w:hAnsi="仿宋" w:eastAsia="仿宋" w:cs="仿宋"/>
          <w:b/>
          <w:bCs/>
          <w:sz w:val="24"/>
          <w:szCs w:val="24"/>
        </w:rPr>
        <w:t>深汕中心医院公务车维修项目工时费明细表</w:t>
      </w:r>
    </w:p>
    <w:p>
      <w:pPr>
        <w:spacing w:line="360" w:lineRule="auto"/>
        <w:ind w:firstLine="482" w:firstLineChars="200"/>
        <w:jc w:val="right"/>
        <w:rPr>
          <w:rFonts w:ascii="仿宋" w:hAnsi="仿宋" w:eastAsia="仿宋" w:cs="仿宋"/>
          <w:sz w:val="24"/>
          <w:szCs w:val="24"/>
        </w:rPr>
      </w:pPr>
      <w:r>
        <w:rPr>
          <w:rFonts w:hint="eastAsia" w:ascii="仿宋" w:hAnsi="仿宋" w:eastAsia="仿宋" w:cs="仿宋"/>
          <w:b/>
          <w:sz w:val="24"/>
          <w:szCs w:val="24"/>
        </w:rPr>
        <w:t>（货币单位：人民币元）</w:t>
      </w:r>
    </w:p>
    <w:tbl>
      <w:tblPr>
        <w:tblStyle w:val="33"/>
        <w:tblpPr w:leftFromText="180" w:rightFromText="180" w:vertAnchor="text" w:horzAnchor="page" w:tblpX="1395" w:tblpY="489"/>
        <w:tblOverlap w:val="never"/>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13"/>
        <w:gridCol w:w="3395"/>
        <w:gridCol w:w="1213"/>
        <w:gridCol w:w="11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类 别</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编 号</w:t>
            </w:r>
          </w:p>
        </w:tc>
        <w:tc>
          <w:tcPr>
            <w:tcW w:w="33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维修项目</w:t>
            </w:r>
          </w:p>
        </w:tc>
        <w:tc>
          <w:tcPr>
            <w:tcW w:w="3382"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 xml:space="preserve"> 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339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 3000CC以上 </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1800-3000CC </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1800CC以下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整车</w:t>
            </w:r>
          </w:p>
          <w:p>
            <w:pPr>
              <w:jc w:val="center"/>
              <w:rPr>
                <w:rFonts w:ascii="仿宋" w:hAnsi="仿宋" w:eastAsia="仿宋" w:cs="仿宋"/>
                <w:bCs/>
                <w:sz w:val="24"/>
                <w:szCs w:val="24"/>
              </w:rPr>
            </w:pPr>
            <w:r>
              <w:rPr>
                <w:rFonts w:hint="eastAsia" w:ascii="仿宋" w:hAnsi="仿宋" w:eastAsia="仿宋" w:cs="仿宋"/>
                <w:bCs/>
                <w:sz w:val="24"/>
                <w:szCs w:val="24"/>
              </w:rPr>
              <w:t>保养</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一级维护</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二级维护</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103</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更换机油，机油滤清器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104</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更换波箱油（手动）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105</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更换波箱油（自动）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106</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更换波箱油（电控波箱）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107</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保养四轮刹车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108</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保养冷却系统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109</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保养空调系统（不含加注雪种）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110</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保养转向系统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111</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sz w:val="24"/>
                <w:szCs w:val="24"/>
              </w:rPr>
            </w:pPr>
            <w:r>
              <w:rPr>
                <w:rFonts w:hint="eastAsia" w:ascii="仿宋" w:hAnsi="仿宋" w:eastAsia="仿宋" w:cs="仿宋"/>
                <w:bCs/>
                <w:sz w:val="24"/>
                <w:szCs w:val="24"/>
              </w:rPr>
              <w:t>清洗发动机外表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发动机</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发动机大修（含吊装发动机）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吊装发动机总成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更换发动机下挡泥板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更换发动机左侧支承胶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更换发动机右侧支承胶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更换发动机后支承胶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清洗、调校喷油嘴（全车套）及节气门（4缸）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534.6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清洗、调校喷油嘴（全车套）及节气门（6缸）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检修发动机燃油喷射系统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取断头螺丝（支）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更换汽油泵（电动泵）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拆装燃油箱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拆装或更换谐振箱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更换防冻液</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更换水泵及防冻液</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拆装水箱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更换水道闷头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更换旁通水管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更换上水管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更换下水管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更换冷却风扇马达</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拆装油底壳（不含吊装发动机）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更换曲轴后油封（含吊装波箱）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更换曲轴前油封（不含吊装发动机）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焊补排气管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更换排气管吊胶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拆装、更换排气管前段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拆装、更换排气管第二段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拆装、更换排气管第三段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拆装、更换排气管尾段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拆装或更换空滤器总成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更换方向泵皮带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更换发电机皮带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更换空调皮带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更换正时皮带,调整配气正时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更换正时链,调整配气正时（不含吊装发动机）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皮带张紧力调节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更换气缸垫（4缸）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更换气缸垫（6缸）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拆装气门室盖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更换油门拉线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更换电子油门（含解码）</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130</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117</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废气检测</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检修起动机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检修发电机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检查、更换分火线，分火头及分火盖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更换节温器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更换节温器盖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更换连接水管（水泵到节温器）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更换起动机总成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更换发电机总成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更换发动机缸盖（4缸）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更换发动机缸盖（6缸）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更换机油集滤器（不含吊装发动机）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更换机油泵总成（不含吊装发动机）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更换曲轴皮带轮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拆装处理排气管前端接口漏气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拆装进气岐管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拆装排气管岐管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更换风扇偶合器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检修汽油泵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清洗燃油箱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拆装高压油泵（柴油）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清洗曲轴箱机油集滤器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研磨气门（支）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换发动机全套活塞环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换连杆轴承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检修空气压缩机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换机油感应器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检修离合器液压总泵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免拆清洗引擎油路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换发动机活塞、连杆</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178</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145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更换正时齿轮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换机油感应器、测量机油压力</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检修气门漏气（4缸）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检修气门漏气（6缸）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换柴油机气缸垫</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清洗更换燃油滤清器（外置式）</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173.7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157.5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清洁怠速控制器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更换检查水温感应器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更换火花塞</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检修正时皮带异响或漏油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检修更换机油格座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镶气门座（个）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油电路保养</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发动机电脑检测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调怠速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检修曲轴通风装置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清洗空气滤清器或更换滤芯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检修正时链或齿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清理发动机积碳（4缸）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清理发动机积碳（6缸）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更换飞轮齿（含吊装波箱）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拆装清洗汽油喷嘴（支）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更换三元催化器（不含吊装发动机）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清洗或更换节气门阀体</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更换燃油蒸发控制装置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检测、清洗废气再循环（EGR）系统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免拆清洗发动机气路系统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免拆清洗曲轴箱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拆洗三元催化器（不含吊装发动机）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更换涡轮增压器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拆装清洗柴油喷油嘴（支）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传动系统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更换离合器片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维修或保养离合器总泵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维修或保养离合器分泵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分解、修理差速器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分解、修理自动变速箱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3326.4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分解、修理手动变速箱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1425.6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吊装变速箱总成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拆装波箱油底壳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更换波箱吊胶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更换或润滑波箱换挡拉索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更换或润滑波箱油门拉索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更换前驱动半轴（单边）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更换半轴外球笼（单边）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更换半轴内球笼（单边）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更换半轴防尘套、保养球笼（单边）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换传动轴中间轴承或油封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换油箱支架胶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调校离合器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换传动轴万向节总成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换差速器油封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换半轴油封（单边）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更换轮毂轴承（轮）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检修挂档机构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检修变速箱操纵机构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更换变速箱前油封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更换变速箱后油封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换离合器分离轴承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检修后轮壳油封漏油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更换波箱档位显示器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检测更换波箱电磁阀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检修波箱液压油路板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1425.6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更换米表线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更换轮胎及动平衡（条）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更换传动轴吊胶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检修P档锁止开关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更换差速器油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339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外调校手刹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悬挂系统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前独立悬挂解体、修理（单边）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534.6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后独立悬挂解体、修理（单边）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更换后悬挂推杆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更换后悬挂稳定杆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更换轮胎螺丝（轮）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更换螺旋弹簧（支）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更换前减震器（支）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更换后减震器（支）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更换前轮避震器座胶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更换前轮定位拉杆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更换前上挂臂（单边）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更换前下挂臂（单边）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更换后轮上挂臂（单边）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更换后轮下挂臂（单边）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更换平衡杆胶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更换前平衡杆小连杆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拆装平衡杆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拆装或更换转向节（单边）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拆装前轮轴承（单边）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拆装后轮轴承（单边）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平衡轮胎（条）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更换轮胎，平衡轮胎（四轮）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更换钢圈，平衡轮胎（四轮）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更换发动机前横梁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更换发动机后横梁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换普通前避震器（支）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换普通后避震器（支）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检修前轮钢板弹簧断（单边）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检修后轮钢板弹簧断（单边）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检修铆前钢板支架座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检修铆后钢板支架座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调校前桥扭杆弹簧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换悬挂上、下球头（单边）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换转向节主销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410.4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更换钢板销及衬套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换后钢板弹簧（单边）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调整转向角度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检修横直拉杆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换扭杆式前叉板胶套及轴（单边）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检修更换转向辅助臂（个）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检修可变悬架系统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检修空压式悬架避震系统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检修电子悬挂线路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446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更换前轮油封（轮）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更换后轮油封（轮）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制动系统</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500　</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检修四轮刹车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更换前制动片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更换后制动片（碟刹）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更换后制动蹄（鼓刹）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更换手刹片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更换后制动鼓</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光整制动盘（个）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更换前制动盘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更换制动踏板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镗制动鼓（个）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检修制动总泵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检修制动分泵（碟）（个）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更换制动分泵（前）（个）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更换真空助力器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更换ABS执行器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471.6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428.4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更换ABS转速传感器（个）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更换车轮制动软管（条）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更换全车手刹拉线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调整手拉杆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换刹车比例阀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调校四轮刹车（含放空气）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523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更换刹车油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检修ABS系统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1900.8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转向系统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四轮定位检测、调整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前束检测、调整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更换方向机总成（齿条）（含四轮定位）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更换方向机总成（循环球）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大修方向机（齿条）（含四轮定位）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大修方向机（循环球）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更换方向助力油泵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拆装转向管柱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拆装转向横拉杆（内球头）（不含四轮定位）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拆装调整方向盘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更换方向机防尘套（不含四轮定位）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调整方向盘间隙</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更换助力泵油壶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换方向机中尺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换方向机高低压油管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检修或更换转向机电控系统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更换方向机油散热器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618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换转向机十字轴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451.8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410.4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空调系统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补充雪种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更换电磁离合器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更换压缩机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更换冷凝器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清洁或更换蒸发器（不含拆装仪表台）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更换暖水开关阀（不含拆装仪表台）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更换风量调节开关（不含拆装仪表台）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更换冷暖调节开关或拉索（不含拆装仪表台）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更换A/C开关（不含拆装仪表台）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更换暖风水箱（不含拆装仪表台）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拆装装空调鼓风机（不含拆装仪表台）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拆装空调进气滤网</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检修电子扇电路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检修空调电路（普通）（不含拆装仪表台）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空调系统大修（单蒸发器）（不含拆装仪表台）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空调系统大修（双蒸发器）（不含拆装仪表台）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换雪种瓶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抽真空加雪种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换高低压管（条）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检查更换空调继电器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清洗冷气风口、管道（不含拆装仪表台）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排除蒸发箱外水道堵塞</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更换膨胀阀（不含拆装仪表台）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拆装更换冷气温度感应器（不含拆装仪表台）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更换空调保险阀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检修空调电路（自动）（不含拆装仪表台）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检修暖气系统（不含拆装仪表台）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729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清洗蒸发器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电器系统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检修里程表线路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检修水温表线路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检修转速表线路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检修燃油表线路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检修机油压力线路(机油灯亮)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检修充电指示灯线路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检修全车灯光线路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调整大灯位置及光轴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拆修雨刮连杆机构（不含拆装仪表台）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检修雨刮喷水机构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更换雨刮喷水壶或喷水电机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更换天线总成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更换前门音响喇叭（个）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更换后音响喇叭（个）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拆装音响主机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更换电喇叭</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更换气囊袋线盘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更换左右气袋及电脑（含拆装仪表台）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更换升降器总开关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更换前门升降器或马达（单门）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更换后门升降器或马达（单门）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更换转向组合开关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更换前大灯或大灯座（只）（不含拆保险杠）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更换前角灯（只）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更换后尾灯（只）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更换后高位制动灯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检修、更换前射灯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检修手刹灯线路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检修挂挡杆灯线路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拆装检修天窗机构（含拆装天花内饰板）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更换天窗开关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检修电动后视镜及电路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更换仪表板照明灯泡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全车线路大修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消除故障码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更换室内倒车镜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换刮雨马达（不含拆装仪表台）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换保险盒（不含线束更换）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检修电子防盗器系统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检修电子油门故障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检修车速传感器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检修巡航系统控制电路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检修电动座椅电路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更换外把手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更换四档泥板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检修电动车窗电路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检修中央门锁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拆装更换门灯感应器（个）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检修安全带感应器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更换刹车油量感应器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拆检尾门锁灯开关总成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检修起动线路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更换电池头（正）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更换电池头（负）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发动机保养电脑归零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检修气囊控制电路故障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检修自动波外控电器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检修液压方向机电子控制系统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检修自动防撞系统（仪表台）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配装遥控器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检修加速防滑系统（ASR）</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检修四轮驱动系统电路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检修CD收放机外接电路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检修电子仪表板电路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检修更换雾灯（一对）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107.1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检修大灯高低调整装置（内置式）</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更换雨刮臂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检修倒车灯电路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检修雨刮电路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874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检修喇叭电路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安装车尾静电线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车身部分</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拆装车身饰件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更换前中网</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更换前或后档风玻璃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更换发动机仓前龙门架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891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更换发动机盖锁并调整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更换发动机盖拉索拉手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更换倒车镜（单边）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拆装倒车雷达</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更换前翼子板（单边）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更换后翼子板（单边）（含拆装后杠、后档等相关附件）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更换前车门（个）（含相关附件拆装）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更换前门玻璃（件）（含相关附件拆装）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拆装前门内饰板（件）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拆装后门饰板（件）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更换车身前立柱（单边）（含相关附件拆装）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2178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更换车身中立柱（单边）（含相关附件拆装）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更换前门锁机并调整（个）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更换后门锁机并调整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更换落水槽饰条（条）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更换前门玻璃绒槽（条）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更换后门玻璃绒槽</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更换门锁驱动器（个）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更换全车标志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更换全车锁（不含解码）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安装全车电镀楣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更换天窗玻璃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拆装天窗机构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更换后门三角窗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更换车身下裙（单边）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更换后门玻璃外压条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更换前门玻璃外压条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修复校正大梁（不含拆装其他附件）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更换车身地毯（不含拆装仪表台）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拆装车内天花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更换油箱开启盖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更换水箱上支架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更换水箱下支架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更换车门防水胶条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更换车门外拉手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更换车门内拉手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更换车门限位器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更换后车门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拆装行李箱内饰件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更换行李箱后围板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更换行李箱拉簧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拆装前排座椅（个）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拆装后排座椅及靠背</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更换前轮内挡泥衬胶（单边）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更换后轮内挡泥补胶（单边）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更换车门防撞胶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更换大灯下支架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更换前保险杠内支架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更换后保险杠内支架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更换前叶子板内托（左或右）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更换后叶子板内托（左或右）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更换门柱外饰铰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更换后盖铰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更换前、后门门铰（对）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更换前大灯（个）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单门修复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前杠修复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引擎盖修复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后箱盖修复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修玻璃升降器手动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修玻璃升降器电动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换单门锁芯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换尾箱盖锁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换引擎盖锁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换车身彩条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更换尾门撑杆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检修排气管、消声器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电池架烧焊固定</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检修中门轴承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检修车头盖锁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固定保险杠角胶（吉普车）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轮胎上盖板修复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后尾板修复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车身大修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更换车身电镀饰板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前照面修复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前玻璃框锈蚀修复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后玻璃框锈蚀修复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车顶沙板修复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修复后保险杠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993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更换安全带（条）（不含电脑解码）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调校车门（个）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调校尾门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更换后盖拉线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拆装全车附件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修复备胎架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调校门锁位（门）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换叶子板饰条（条）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更换外把手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更换四档泥板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钣金</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386.1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444.6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左下裙条凹位修复及校正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右下裙条凹位修复及校正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左前立柱凹位修复及校正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右前立柱凹位修复及校正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左中柱凹位修复及校正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右中柱凹位修复及校正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更换左前大梁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更换右前大梁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左后门凹位修复及校正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右后门凹位修复及校正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左后叶子板凹位修复及校正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右后叶子板凹位修复及校正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行李箱盖凹位修复及校正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358.2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修复前大梁（后）</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1229.4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1116.9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修复前、后大梁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1541.7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1401.3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1024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中门沙板修复（中等程度）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324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295.2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拆装清洁全车室内饰件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848.7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维修项目XI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烤漆及美容</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全车烤漆内外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6440.4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702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883.8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440.1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前保险杠补漆（局部）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383.4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348.3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后保险杠补漆（局部）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510.3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709.2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604.8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454.5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454.5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311.4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中立柱烤漆（旧件）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中立柱烤漆（残破）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419.4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419.4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车门上幅烤漆（旧件）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车门上幅烤漆（残破）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416.7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车门下幅烤漆（旧件）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车门下幅烤漆（残破）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车门防撞条烤漆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132.3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610.2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576.9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350.1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1108.8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1108.8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倒车镜烤漆（新件）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105.3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倒车镜烤漆（旧件）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全车座位清洗、上蜡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发动机外部清洗、上蜡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260.1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236.7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全车抛光、上蜡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394.2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全车打磨、抛光、上蜡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443.7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上增艳蜡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284.4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258.3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全车除污渍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551.7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打磨、抛光加一层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431.1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后箱盖烤漆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783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引擎盖烤漆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922.5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838.8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内部美容蒸气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水蜡洗车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上普通光蜡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更换全车座套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外车身、全车填面喷漆、烤漆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3976.2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3615.3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车底喷防锈漆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535.5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全车室内消毒</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全车装表茶纸（5座车）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601.2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546.3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室内椅套清洗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真皮座椅去渍、上光</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404.1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发动机外表清洗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bl>
    <w:p>
      <w:pPr>
        <w:spacing w:line="360" w:lineRule="auto"/>
        <w:rPr>
          <w:rFonts w:ascii="仿宋_GB2" w:hAnsi="仿宋_GB2" w:eastAsia="仿宋_GB2" w:cs="仿宋_GB2"/>
          <w:szCs w:val="21"/>
        </w:rPr>
      </w:pPr>
    </w:p>
    <w:p>
      <w:pPr>
        <w:spacing w:line="360" w:lineRule="auto"/>
        <w:rPr>
          <w:rFonts w:ascii="仿宋_GB2" w:hAnsi="仿宋_GB2" w:eastAsia="仿宋_GB2" w:cs="仿宋_GB2"/>
          <w:szCs w:val="21"/>
        </w:rPr>
      </w:pPr>
      <w:r>
        <w:rPr>
          <w:rFonts w:hint="eastAsia" w:ascii="仿宋_GB2" w:hAnsi="仿宋_GB2" w:eastAsia="仿宋_GB2" w:cs="仿宋_GB2"/>
          <w:szCs w:val="21"/>
        </w:rPr>
        <w:t>注：表中机修电器项目收费含相关附件拆装，钣金项目收费为单项拆装修复，喷漆项目收费包含漆料，美容项目包含耗材。</w:t>
      </w:r>
    </w:p>
    <w:p>
      <w:pPr>
        <w:spacing w:line="500" w:lineRule="exact"/>
        <w:rPr>
          <w:rFonts w:ascii="仿宋" w:hAnsi="仿宋" w:eastAsia="仿宋" w:cs="仿宋"/>
        </w:rPr>
      </w:pPr>
      <w:r>
        <w:rPr>
          <w:rFonts w:hint="eastAsia" w:ascii="仿宋" w:hAnsi="仿宋" w:eastAsia="仿宋" w:cs="仿宋"/>
          <w:sz w:val="28"/>
          <w:szCs w:val="28"/>
        </w:rPr>
        <w:t xml:space="preserve">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
    <w:altName w:val="仿宋"/>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716FC"/>
    <w:multiLevelType w:val="multilevel"/>
    <w:tmpl w:val="046716FC"/>
    <w:lvl w:ilvl="0" w:tentative="0">
      <w:start w:val="5"/>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2411EB3"/>
    <w:multiLevelType w:val="multilevel"/>
    <w:tmpl w:val="32411EB3"/>
    <w:lvl w:ilvl="0" w:tentative="0">
      <w:start w:val="1"/>
      <w:numFmt w:val="chineseCountingThousand"/>
      <w:pStyle w:val="152"/>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tabs>
          <w:tab w:val="left" w:pos="840"/>
        </w:tabs>
        <w:ind w:left="840" w:hanging="420"/>
      </w:pPr>
      <w:rPr>
        <w:rFonts w:hint="eastAsia" w:ascii="仿宋_GB2312" w:eastAsia="仿宋_GB2312"/>
        <w:sz w:val="24"/>
        <w:szCs w:val="24"/>
        <w:lang w:val="en-US"/>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B527C2C"/>
    <w:multiLevelType w:val="multilevel"/>
    <w:tmpl w:val="6B527C2C"/>
    <w:lvl w:ilvl="0" w:tentative="0">
      <w:start w:val="1"/>
      <w:numFmt w:val="japaneseCounting"/>
      <w:pStyle w:val="12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YjUzNmJiNGMzZjAwNTE2ODRjOThlYjQ0MjhmYjMifQ=="/>
  </w:docVars>
  <w:rsids>
    <w:rsidRoot w:val="00D31D50"/>
    <w:rsid w:val="00034B5B"/>
    <w:rsid w:val="00054612"/>
    <w:rsid w:val="00061043"/>
    <w:rsid w:val="00094541"/>
    <w:rsid w:val="000A0767"/>
    <w:rsid w:val="000A51D2"/>
    <w:rsid w:val="000D444E"/>
    <w:rsid w:val="00111D49"/>
    <w:rsid w:val="001F4367"/>
    <w:rsid w:val="001F58BA"/>
    <w:rsid w:val="002142F5"/>
    <w:rsid w:val="002611A2"/>
    <w:rsid w:val="002C363C"/>
    <w:rsid w:val="00323B43"/>
    <w:rsid w:val="00331A32"/>
    <w:rsid w:val="00363DF2"/>
    <w:rsid w:val="003D37D8"/>
    <w:rsid w:val="00426133"/>
    <w:rsid w:val="004358AB"/>
    <w:rsid w:val="00443A60"/>
    <w:rsid w:val="00453711"/>
    <w:rsid w:val="004C2710"/>
    <w:rsid w:val="004D2C5C"/>
    <w:rsid w:val="004E78AA"/>
    <w:rsid w:val="005A2D64"/>
    <w:rsid w:val="005C0E3F"/>
    <w:rsid w:val="005F2D28"/>
    <w:rsid w:val="00631741"/>
    <w:rsid w:val="00635F38"/>
    <w:rsid w:val="00651B1D"/>
    <w:rsid w:val="007146E0"/>
    <w:rsid w:val="00725E21"/>
    <w:rsid w:val="00734039"/>
    <w:rsid w:val="0075206E"/>
    <w:rsid w:val="007F76B5"/>
    <w:rsid w:val="008016E1"/>
    <w:rsid w:val="00870D3F"/>
    <w:rsid w:val="008B7726"/>
    <w:rsid w:val="009557FE"/>
    <w:rsid w:val="00966335"/>
    <w:rsid w:val="009A1119"/>
    <w:rsid w:val="009C5DA2"/>
    <w:rsid w:val="009D2423"/>
    <w:rsid w:val="00A65FA9"/>
    <w:rsid w:val="00AB35C0"/>
    <w:rsid w:val="00AE138A"/>
    <w:rsid w:val="00B05A70"/>
    <w:rsid w:val="00B51DC3"/>
    <w:rsid w:val="00B9313F"/>
    <w:rsid w:val="00BB028F"/>
    <w:rsid w:val="00C163BB"/>
    <w:rsid w:val="00C55130"/>
    <w:rsid w:val="00CA183E"/>
    <w:rsid w:val="00D31D50"/>
    <w:rsid w:val="00D35186"/>
    <w:rsid w:val="00DF514A"/>
    <w:rsid w:val="00E37BD2"/>
    <w:rsid w:val="00E4720A"/>
    <w:rsid w:val="00F41CF0"/>
    <w:rsid w:val="00F465B3"/>
    <w:rsid w:val="00FB4CAD"/>
    <w:rsid w:val="01747E56"/>
    <w:rsid w:val="03BF0B5A"/>
    <w:rsid w:val="1264680A"/>
    <w:rsid w:val="14D71B8E"/>
    <w:rsid w:val="18806715"/>
    <w:rsid w:val="19D221C1"/>
    <w:rsid w:val="1ABC3552"/>
    <w:rsid w:val="1DEB1048"/>
    <w:rsid w:val="1FC379B2"/>
    <w:rsid w:val="21F726B1"/>
    <w:rsid w:val="224156DA"/>
    <w:rsid w:val="227B4E52"/>
    <w:rsid w:val="22DE117B"/>
    <w:rsid w:val="269853D3"/>
    <w:rsid w:val="31761443"/>
    <w:rsid w:val="317824B8"/>
    <w:rsid w:val="417E204F"/>
    <w:rsid w:val="43664B49"/>
    <w:rsid w:val="45EA0E0B"/>
    <w:rsid w:val="490B08FC"/>
    <w:rsid w:val="4A5D4EF8"/>
    <w:rsid w:val="4B6F3164"/>
    <w:rsid w:val="4D072EF9"/>
    <w:rsid w:val="4E0F02B7"/>
    <w:rsid w:val="51F44E40"/>
    <w:rsid w:val="53AC0A07"/>
    <w:rsid w:val="53FC07E7"/>
    <w:rsid w:val="56831366"/>
    <w:rsid w:val="5BCD355F"/>
    <w:rsid w:val="60C413C9"/>
    <w:rsid w:val="63861052"/>
    <w:rsid w:val="6BFF1513"/>
    <w:rsid w:val="6E245261"/>
    <w:rsid w:val="73CF5C6F"/>
    <w:rsid w:val="751F1287"/>
    <w:rsid w:val="77164E1A"/>
    <w:rsid w:val="7D6A10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5"/>
    <w:next w:val="1"/>
    <w:link w:val="51"/>
    <w:qFormat/>
    <w:uiPriority w:val="0"/>
    <w:pPr>
      <w:keepNext/>
      <w:keepLines/>
      <w:tabs>
        <w:tab w:val="left" w:pos="851"/>
      </w:tabs>
      <w:adjustRightInd/>
      <w:snapToGrid/>
      <w:spacing w:before="340" w:after="330" w:line="576" w:lineRule="auto"/>
      <w:outlineLvl w:val="0"/>
    </w:pPr>
    <w:rPr>
      <w:b/>
      <w:bCs/>
      <w:kern w:val="44"/>
      <w:sz w:val="44"/>
      <w:szCs w:val="44"/>
    </w:rPr>
  </w:style>
  <w:style w:type="paragraph" w:styleId="6">
    <w:name w:val="heading 2"/>
    <w:basedOn w:val="1"/>
    <w:next w:val="7"/>
    <w:link w:val="53"/>
    <w:qFormat/>
    <w:uiPriority w:val="0"/>
    <w:pPr>
      <w:keepNext/>
      <w:keepLines/>
      <w:spacing w:after="0" w:line="360" w:lineRule="auto"/>
      <w:jc w:val="center"/>
      <w:outlineLvl w:val="1"/>
    </w:pPr>
    <w:rPr>
      <w:rFonts w:ascii="宋体" w:hAnsi="Arial" w:eastAsia="宋体" w:cs="Times New Roman"/>
      <w:kern w:val="2"/>
      <w:sz w:val="32"/>
      <w:szCs w:val="20"/>
      <w:lang w:val="zh-CN"/>
    </w:rPr>
  </w:style>
  <w:style w:type="paragraph" w:styleId="5">
    <w:name w:val="heading 3"/>
    <w:basedOn w:val="1"/>
    <w:next w:val="1"/>
    <w:link w:val="54"/>
    <w:qFormat/>
    <w:uiPriority w:val="0"/>
    <w:pPr>
      <w:widowControl w:val="0"/>
      <w:tabs>
        <w:tab w:val="left" w:pos="851"/>
      </w:tabs>
      <w:autoSpaceDE w:val="0"/>
      <w:autoSpaceDN w:val="0"/>
      <w:spacing w:after="0" w:line="360" w:lineRule="auto"/>
      <w:jc w:val="both"/>
      <w:outlineLvl w:val="2"/>
    </w:pPr>
    <w:rPr>
      <w:rFonts w:ascii="宋体" w:eastAsia="宋体" w:cs="Times New Roman"/>
      <w:kern w:val="2"/>
      <w:sz w:val="21"/>
      <w:szCs w:val="20"/>
      <w:lang w:val="zh-CN"/>
    </w:rPr>
  </w:style>
  <w:style w:type="paragraph" w:styleId="8">
    <w:name w:val="heading 4"/>
    <w:basedOn w:val="1"/>
    <w:next w:val="7"/>
    <w:link w:val="55"/>
    <w:qFormat/>
    <w:uiPriority w:val="0"/>
    <w:pPr>
      <w:widowControl w:val="0"/>
      <w:autoSpaceDE w:val="0"/>
      <w:autoSpaceDN w:val="0"/>
      <w:spacing w:after="0" w:line="360" w:lineRule="auto"/>
      <w:jc w:val="both"/>
      <w:outlineLvl w:val="3"/>
    </w:pPr>
    <w:rPr>
      <w:rFonts w:ascii="宋体" w:hAnsi="Arial" w:eastAsia="宋体" w:cs="Times New Roman"/>
      <w:color w:val="000000"/>
      <w:kern w:val="2"/>
      <w:sz w:val="21"/>
      <w:szCs w:val="20"/>
      <w:lang w:val="zh-CN"/>
    </w:rPr>
  </w:style>
  <w:style w:type="paragraph" w:styleId="9">
    <w:name w:val="heading 5"/>
    <w:basedOn w:val="1"/>
    <w:next w:val="7"/>
    <w:link w:val="56"/>
    <w:qFormat/>
    <w:uiPriority w:val="0"/>
    <w:pPr>
      <w:keepNext/>
      <w:widowControl w:val="0"/>
      <w:autoSpaceDE w:val="0"/>
      <w:autoSpaceDN w:val="0"/>
      <w:spacing w:before="280" w:after="290" w:line="374" w:lineRule="auto"/>
      <w:jc w:val="both"/>
      <w:outlineLvl w:val="4"/>
    </w:pPr>
    <w:rPr>
      <w:rFonts w:ascii="宋体" w:eastAsia="宋体" w:cs="Times New Roman"/>
      <w:b/>
      <w:color w:val="000000"/>
      <w:kern w:val="2"/>
      <w:sz w:val="28"/>
      <w:szCs w:val="20"/>
      <w:lang w:val="zh-CN"/>
    </w:rPr>
  </w:style>
  <w:style w:type="paragraph" w:styleId="10">
    <w:name w:val="heading 6"/>
    <w:basedOn w:val="1"/>
    <w:next w:val="7"/>
    <w:link w:val="57"/>
    <w:qFormat/>
    <w:uiPriority w:val="0"/>
    <w:pPr>
      <w:keepNext/>
      <w:widowControl w:val="0"/>
      <w:autoSpaceDE w:val="0"/>
      <w:autoSpaceDN w:val="0"/>
      <w:spacing w:before="240" w:after="64" w:line="319" w:lineRule="auto"/>
      <w:jc w:val="both"/>
      <w:outlineLvl w:val="5"/>
    </w:pPr>
    <w:rPr>
      <w:rFonts w:ascii="Arial" w:hAnsi="Arial" w:eastAsia="黑体" w:cs="Times New Roman"/>
      <w:b/>
      <w:color w:val="000000"/>
      <w:kern w:val="2"/>
      <w:sz w:val="24"/>
      <w:szCs w:val="20"/>
      <w:lang w:val="zh-CN"/>
    </w:rPr>
  </w:style>
  <w:style w:type="paragraph" w:styleId="11">
    <w:name w:val="heading 7"/>
    <w:basedOn w:val="1"/>
    <w:next w:val="7"/>
    <w:link w:val="58"/>
    <w:qFormat/>
    <w:uiPriority w:val="0"/>
    <w:pPr>
      <w:keepNext/>
      <w:widowControl w:val="0"/>
      <w:autoSpaceDE w:val="0"/>
      <w:autoSpaceDN w:val="0"/>
      <w:spacing w:before="240" w:after="64" w:line="319" w:lineRule="auto"/>
      <w:jc w:val="both"/>
      <w:outlineLvl w:val="6"/>
    </w:pPr>
    <w:rPr>
      <w:rFonts w:ascii="宋体" w:eastAsia="宋体" w:cs="Times New Roman"/>
      <w:b/>
      <w:color w:val="000000"/>
      <w:kern w:val="2"/>
      <w:sz w:val="24"/>
      <w:szCs w:val="20"/>
      <w:lang w:val="zh-CN"/>
    </w:rPr>
  </w:style>
  <w:style w:type="paragraph" w:styleId="12">
    <w:name w:val="heading 8"/>
    <w:basedOn w:val="1"/>
    <w:next w:val="7"/>
    <w:link w:val="59"/>
    <w:qFormat/>
    <w:uiPriority w:val="0"/>
    <w:pPr>
      <w:keepNext/>
      <w:widowControl w:val="0"/>
      <w:autoSpaceDE w:val="0"/>
      <w:autoSpaceDN w:val="0"/>
      <w:spacing w:before="240" w:after="64" w:line="319" w:lineRule="auto"/>
      <w:jc w:val="both"/>
      <w:outlineLvl w:val="7"/>
    </w:pPr>
    <w:rPr>
      <w:rFonts w:ascii="Arial" w:hAnsi="Arial" w:eastAsia="黑体" w:cs="Times New Roman"/>
      <w:color w:val="000000"/>
      <w:kern w:val="2"/>
      <w:sz w:val="24"/>
      <w:szCs w:val="20"/>
      <w:lang w:val="zh-CN"/>
    </w:rPr>
  </w:style>
  <w:style w:type="paragraph" w:styleId="13">
    <w:name w:val="heading 9"/>
    <w:basedOn w:val="1"/>
    <w:next w:val="7"/>
    <w:link w:val="60"/>
    <w:qFormat/>
    <w:uiPriority w:val="0"/>
    <w:pPr>
      <w:keepNext/>
      <w:widowControl w:val="0"/>
      <w:autoSpaceDE w:val="0"/>
      <w:autoSpaceDN w:val="0"/>
      <w:spacing w:before="240" w:after="64" w:line="319" w:lineRule="auto"/>
      <w:jc w:val="both"/>
      <w:outlineLvl w:val="8"/>
    </w:pPr>
    <w:rPr>
      <w:rFonts w:ascii="Arial" w:hAnsi="Arial" w:eastAsia="黑体" w:cs="Times New Roman"/>
      <w:color w:val="000000"/>
      <w:kern w:val="2"/>
      <w:sz w:val="21"/>
      <w:szCs w:val="20"/>
      <w:lang w:val="zh-C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69"/>
    <w:semiHidden/>
    <w:unhideWhenUsed/>
    <w:qFormat/>
    <w:uiPriority w:val="0"/>
    <w:pPr>
      <w:adjustRightInd w:val="0"/>
      <w:snapToGrid w:val="0"/>
      <w:ind w:firstLine="420" w:firstLineChars="100"/>
    </w:pPr>
  </w:style>
  <w:style w:type="paragraph" w:styleId="3">
    <w:name w:val="Body Text"/>
    <w:basedOn w:val="1"/>
    <w:next w:val="1"/>
    <w:link w:val="70"/>
    <w:qFormat/>
    <w:uiPriority w:val="0"/>
    <w:pPr>
      <w:adjustRightInd/>
      <w:snapToGrid/>
      <w:spacing w:after="120"/>
    </w:pPr>
    <w:rPr>
      <w:kern w:val="2"/>
      <w:sz w:val="21"/>
    </w:rPr>
  </w:style>
  <w:style w:type="paragraph" w:styleId="7">
    <w:name w:val="Normal Indent"/>
    <w:basedOn w:val="1"/>
    <w:link w:val="52"/>
    <w:qFormat/>
    <w:uiPriority w:val="0"/>
    <w:pPr>
      <w:adjustRightInd/>
      <w:snapToGrid/>
      <w:spacing w:after="0"/>
      <w:ind w:firstLine="420"/>
    </w:pPr>
    <w:rPr>
      <w:rFonts w:ascii="Times New Roman" w:hAnsi="Times New Roman" w:eastAsia="宋体" w:cs="Times New Roman"/>
      <w:sz w:val="21"/>
      <w:szCs w:val="20"/>
    </w:rPr>
  </w:style>
  <w:style w:type="paragraph" w:styleId="14">
    <w:name w:val="caption"/>
    <w:basedOn w:val="1"/>
    <w:next w:val="1"/>
    <w:qFormat/>
    <w:uiPriority w:val="0"/>
    <w:pPr>
      <w:numPr>
        <w:ilvl w:val="4"/>
        <w:numId w:val="1"/>
      </w:numPr>
      <w:adjustRightInd/>
      <w:snapToGrid/>
      <w:spacing w:after="0"/>
      <w:ind w:left="0" w:firstLine="0"/>
    </w:pPr>
    <w:rPr>
      <w:rFonts w:ascii="Arial" w:hAnsi="Arial" w:eastAsia="黑体" w:cs="Arial"/>
      <w:sz w:val="20"/>
      <w:szCs w:val="20"/>
    </w:rPr>
  </w:style>
  <w:style w:type="paragraph" w:styleId="15">
    <w:name w:val="Document Map"/>
    <w:basedOn w:val="1"/>
    <w:link w:val="63"/>
    <w:qFormat/>
    <w:uiPriority w:val="0"/>
    <w:pPr>
      <w:adjustRightInd/>
      <w:snapToGrid/>
      <w:spacing w:after="0"/>
    </w:pPr>
    <w:rPr>
      <w:rFonts w:ascii="宋体"/>
      <w:kern w:val="2"/>
      <w:sz w:val="18"/>
      <w:szCs w:val="18"/>
    </w:rPr>
  </w:style>
  <w:style w:type="paragraph" w:styleId="16">
    <w:name w:val="annotation text"/>
    <w:basedOn w:val="1"/>
    <w:link w:val="66"/>
    <w:unhideWhenUsed/>
    <w:qFormat/>
    <w:uiPriority w:val="99"/>
  </w:style>
  <w:style w:type="paragraph" w:styleId="17">
    <w:name w:val="Body Text 3"/>
    <w:basedOn w:val="1"/>
    <w:link w:val="92"/>
    <w:qFormat/>
    <w:uiPriority w:val="0"/>
    <w:pPr>
      <w:adjustRightInd/>
      <w:snapToGrid/>
      <w:spacing w:after="120"/>
    </w:pPr>
    <w:rPr>
      <w:rFonts w:eastAsia="宋体" w:cs="Times New Roman"/>
      <w:kern w:val="2"/>
      <w:sz w:val="16"/>
      <w:szCs w:val="16"/>
      <w:lang w:val="zh-CN"/>
    </w:rPr>
  </w:style>
  <w:style w:type="paragraph" w:styleId="18">
    <w:name w:val="Body Text Indent"/>
    <w:basedOn w:val="1"/>
    <w:link w:val="88"/>
    <w:qFormat/>
    <w:uiPriority w:val="0"/>
    <w:pPr>
      <w:adjustRightInd/>
      <w:snapToGrid/>
      <w:spacing w:after="120"/>
      <w:ind w:left="420" w:leftChars="200"/>
    </w:pPr>
    <w:rPr>
      <w:rFonts w:eastAsia="宋体" w:cs="Times New Roman"/>
      <w:kern w:val="2"/>
      <w:sz w:val="21"/>
      <w:szCs w:val="20"/>
      <w:lang w:val="zh-CN"/>
    </w:rPr>
  </w:style>
  <w:style w:type="paragraph" w:styleId="19">
    <w:name w:val="Plain Text"/>
    <w:basedOn w:val="1"/>
    <w:link w:val="78"/>
    <w:qFormat/>
    <w:uiPriority w:val="0"/>
    <w:pPr>
      <w:adjustRightInd/>
      <w:snapToGrid/>
      <w:spacing w:after="0"/>
    </w:pPr>
    <w:rPr>
      <w:rFonts w:ascii="宋体" w:hAnsi="Courier New" w:cs="Courier New"/>
      <w:sz w:val="21"/>
      <w:szCs w:val="21"/>
    </w:rPr>
  </w:style>
  <w:style w:type="paragraph" w:styleId="20">
    <w:name w:val="Date"/>
    <w:basedOn w:val="1"/>
    <w:next w:val="1"/>
    <w:link w:val="86"/>
    <w:qFormat/>
    <w:uiPriority w:val="0"/>
    <w:pPr>
      <w:widowControl w:val="0"/>
      <w:adjustRightInd/>
      <w:snapToGrid/>
      <w:spacing w:after="0"/>
      <w:jc w:val="both"/>
    </w:pPr>
    <w:rPr>
      <w:rFonts w:ascii="楷体_GB2312" w:eastAsia="楷体_GB2312" w:cs="Times New Roman"/>
      <w:kern w:val="2"/>
      <w:sz w:val="28"/>
      <w:szCs w:val="20"/>
      <w:lang w:val="zh-CN"/>
    </w:rPr>
  </w:style>
  <w:style w:type="paragraph" w:styleId="21">
    <w:name w:val="Body Text Indent 2"/>
    <w:basedOn w:val="1"/>
    <w:link w:val="84"/>
    <w:qFormat/>
    <w:uiPriority w:val="0"/>
    <w:pPr>
      <w:adjustRightInd/>
      <w:snapToGrid/>
      <w:spacing w:after="120" w:line="480" w:lineRule="auto"/>
      <w:ind w:left="420" w:leftChars="200"/>
    </w:pPr>
    <w:rPr>
      <w:rFonts w:eastAsia="宋体" w:cs="Times New Roman"/>
      <w:kern w:val="2"/>
      <w:sz w:val="21"/>
      <w:szCs w:val="20"/>
      <w:lang w:val="zh-CN"/>
    </w:rPr>
  </w:style>
  <w:style w:type="paragraph" w:styleId="22">
    <w:name w:val="Balloon Text"/>
    <w:basedOn w:val="1"/>
    <w:link w:val="75"/>
    <w:qFormat/>
    <w:uiPriority w:val="0"/>
    <w:pPr>
      <w:adjustRightInd/>
      <w:snapToGrid/>
      <w:spacing w:after="0"/>
    </w:pPr>
    <w:rPr>
      <w:rFonts w:eastAsia="宋体" w:asciiTheme="minorHAnsi" w:hAnsiTheme="minorHAnsi"/>
      <w:sz w:val="18"/>
      <w:szCs w:val="18"/>
    </w:rPr>
  </w:style>
  <w:style w:type="paragraph" w:styleId="23">
    <w:name w:val="footer"/>
    <w:basedOn w:val="1"/>
    <w:link w:val="94"/>
    <w:qFormat/>
    <w:uiPriority w:val="0"/>
    <w:pPr>
      <w:tabs>
        <w:tab w:val="center" w:pos="4153"/>
        <w:tab w:val="right" w:pos="8306"/>
      </w:tabs>
      <w:adjustRightInd/>
      <w:spacing w:after="0"/>
    </w:pPr>
    <w:rPr>
      <w:rFonts w:eastAsia="宋体" w:cs="Times New Roman"/>
      <w:kern w:val="2"/>
      <w:sz w:val="18"/>
      <w:szCs w:val="20"/>
      <w:lang w:val="zh-CN"/>
    </w:rPr>
  </w:style>
  <w:style w:type="paragraph" w:styleId="24">
    <w:name w:val="header"/>
    <w:basedOn w:val="1"/>
    <w:link w:val="96"/>
    <w:qFormat/>
    <w:uiPriority w:val="0"/>
    <w:pPr>
      <w:pBdr>
        <w:bottom w:val="single" w:color="auto" w:sz="6" w:space="1"/>
      </w:pBdr>
      <w:tabs>
        <w:tab w:val="center" w:pos="4153"/>
        <w:tab w:val="right" w:pos="8306"/>
      </w:tabs>
      <w:adjustRightInd/>
      <w:spacing w:after="0"/>
      <w:jc w:val="center"/>
    </w:pPr>
    <w:rPr>
      <w:rFonts w:eastAsia="宋体" w:cs="Times New Roman"/>
      <w:kern w:val="2"/>
      <w:sz w:val="18"/>
      <w:szCs w:val="20"/>
      <w:lang w:val="zh-CN"/>
    </w:rPr>
  </w:style>
  <w:style w:type="paragraph" w:styleId="25">
    <w:name w:val="footnote text"/>
    <w:basedOn w:val="1"/>
    <w:qFormat/>
    <w:uiPriority w:val="0"/>
    <w:rPr>
      <w:sz w:val="18"/>
      <w:szCs w:val="20"/>
    </w:rPr>
  </w:style>
  <w:style w:type="paragraph" w:styleId="26">
    <w:name w:val="Body Text Indent 3"/>
    <w:basedOn w:val="1"/>
    <w:link w:val="82"/>
    <w:qFormat/>
    <w:uiPriority w:val="0"/>
    <w:pPr>
      <w:adjustRightInd/>
      <w:snapToGrid/>
      <w:spacing w:after="120"/>
      <w:ind w:left="420" w:leftChars="200"/>
    </w:pPr>
    <w:rPr>
      <w:rFonts w:eastAsia="宋体" w:cs="Times New Roman"/>
      <w:kern w:val="2"/>
      <w:sz w:val="16"/>
      <w:szCs w:val="16"/>
      <w:lang w:val="zh-CN"/>
    </w:rPr>
  </w:style>
  <w:style w:type="paragraph" w:styleId="27">
    <w:name w:val="Body Text 2"/>
    <w:basedOn w:val="1"/>
    <w:link w:val="98"/>
    <w:qFormat/>
    <w:uiPriority w:val="0"/>
    <w:pPr>
      <w:adjustRightInd/>
      <w:snapToGrid/>
      <w:spacing w:after="120" w:line="480" w:lineRule="auto"/>
    </w:pPr>
    <w:rPr>
      <w:rFonts w:eastAsia="宋体" w:cs="Times New Roman"/>
      <w:kern w:val="2"/>
      <w:sz w:val="21"/>
      <w:szCs w:val="20"/>
      <w:lang w:val="zh-CN"/>
    </w:rPr>
  </w:style>
  <w:style w:type="paragraph" w:styleId="28">
    <w:name w:val="HTML Preformatted"/>
    <w:basedOn w:val="1"/>
    <w:link w:val="90"/>
    <w:qFormat/>
    <w:uiPriority w:val="0"/>
    <w:pPr>
      <w:adjustRightInd/>
      <w:snapToGrid/>
      <w:spacing w:after="0"/>
    </w:pPr>
    <w:rPr>
      <w:rFonts w:ascii="黑体" w:hAnsi="Courier New" w:eastAsia="黑体" w:cs="Times New Roman"/>
      <w:kern w:val="2"/>
      <w:sz w:val="24"/>
      <w:szCs w:val="21"/>
      <w:lang w:val="zh-CN"/>
    </w:rPr>
  </w:style>
  <w:style w:type="paragraph" w:styleId="2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30">
    <w:name w:val="index 1"/>
    <w:basedOn w:val="1"/>
    <w:next w:val="1"/>
    <w:qFormat/>
    <w:uiPriority w:val="0"/>
    <w:pPr>
      <w:widowControl w:val="0"/>
      <w:adjustRightInd/>
      <w:snapToGrid/>
      <w:spacing w:after="0" w:line="360" w:lineRule="auto"/>
      <w:ind w:left="542" w:hanging="542" w:hangingChars="257"/>
      <w:jc w:val="center"/>
    </w:pPr>
    <w:rPr>
      <w:rFonts w:ascii="宋体" w:hAnsi="宋体" w:eastAsia="宋体" w:cs="Times New Roman"/>
      <w:b/>
      <w:bCs/>
      <w:color w:val="000000"/>
      <w:kern w:val="2"/>
      <w:sz w:val="21"/>
      <w:szCs w:val="21"/>
    </w:rPr>
  </w:style>
  <w:style w:type="paragraph" w:styleId="31">
    <w:name w:val="annotation subject"/>
    <w:basedOn w:val="16"/>
    <w:next w:val="16"/>
    <w:link w:val="65"/>
    <w:qFormat/>
    <w:uiPriority w:val="99"/>
    <w:pPr>
      <w:adjustRightInd/>
      <w:snapToGrid/>
      <w:spacing w:after="0"/>
    </w:pPr>
    <w:rPr>
      <w:rFonts w:asciiTheme="minorHAnsi" w:hAnsiTheme="minorHAnsi"/>
      <w:b/>
      <w:bCs/>
      <w:kern w:val="2"/>
      <w:sz w:val="21"/>
      <w:szCs w:val="24"/>
    </w:rPr>
  </w:style>
  <w:style w:type="paragraph" w:styleId="32">
    <w:name w:val="Body Text First Indent 2"/>
    <w:basedOn w:val="18"/>
    <w:qFormat/>
    <w:uiPriority w:val="99"/>
    <w:pPr>
      <w:ind w:firstLine="420" w:firstLineChars="200"/>
    </w:pPr>
    <w:rPr>
      <w:rFonts w:ascii="Calibri"/>
      <w:szCs w:val="24"/>
    </w:rPr>
  </w:style>
  <w:style w:type="table" w:styleId="34">
    <w:name w:val="Table Grid"/>
    <w:basedOn w:val="33"/>
    <w:qFormat/>
    <w:uiPriority w:val="59"/>
    <w:rPr>
      <w:rFonts w:ascii="Calibri" w:hAnsi="Calibri" w:eastAsia="宋体" w:cs="Times New Roman"/>
      <w:kern w:val="2"/>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rPr>
      <w:rFonts w:ascii="Tahoma" w:hAnsi="Tahoma"/>
      <w:kern w:val="2"/>
      <w:sz w:val="24"/>
    </w:rPr>
  </w:style>
  <w:style w:type="character" w:styleId="38">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9">
    <w:name w:val="Hyperlink"/>
    <w:qFormat/>
    <w:uiPriority w:val="99"/>
    <w:rPr>
      <w:color w:val="0000FF"/>
      <w:u w:val="single"/>
    </w:rPr>
  </w:style>
  <w:style w:type="character" w:styleId="40">
    <w:name w:val="annotation reference"/>
    <w:qFormat/>
    <w:uiPriority w:val="99"/>
    <w:rPr>
      <w:rFonts w:ascii="Tahoma" w:hAnsi="Tahoma"/>
      <w:kern w:val="2"/>
      <w:sz w:val="21"/>
      <w:szCs w:val="21"/>
    </w:rPr>
  </w:style>
  <w:style w:type="paragraph" w:customStyle="1" w:styleId="41">
    <w:name w:val="Default"/>
    <w:next w:val="25"/>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character" w:customStyle="1" w:styleId="42">
    <w:name w:val="标题 1 字符"/>
    <w:basedOn w:val="35"/>
    <w:qFormat/>
    <w:uiPriority w:val="9"/>
    <w:rPr>
      <w:rFonts w:ascii="Tahoma" w:hAnsi="Tahoma"/>
      <w:b/>
      <w:bCs/>
      <w:kern w:val="44"/>
      <w:sz w:val="44"/>
      <w:szCs w:val="44"/>
    </w:rPr>
  </w:style>
  <w:style w:type="character" w:customStyle="1" w:styleId="43">
    <w:name w:val="标题 2 字符"/>
    <w:basedOn w:val="35"/>
    <w:semiHidden/>
    <w:qFormat/>
    <w:uiPriority w:val="9"/>
    <w:rPr>
      <w:rFonts w:asciiTheme="majorHAnsi" w:hAnsiTheme="majorHAnsi" w:eastAsiaTheme="majorEastAsia" w:cstheme="majorBidi"/>
      <w:b/>
      <w:bCs/>
      <w:sz w:val="32"/>
      <w:szCs w:val="32"/>
    </w:rPr>
  </w:style>
  <w:style w:type="character" w:customStyle="1" w:styleId="44">
    <w:name w:val="标题 3 字符"/>
    <w:basedOn w:val="35"/>
    <w:semiHidden/>
    <w:qFormat/>
    <w:uiPriority w:val="9"/>
    <w:rPr>
      <w:rFonts w:ascii="Tahoma" w:hAnsi="Tahoma"/>
      <w:b/>
      <w:bCs/>
      <w:sz w:val="32"/>
      <w:szCs w:val="32"/>
    </w:rPr>
  </w:style>
  <w:style w:type="character" w:customStyle="1" w:styleId="45">
    <w:name w:val="标题 4 字符"/>
    <w:basedOn w:val="35"/>
    <w:semiHidden/>
    <w:qFormat/>
    <w:uiPriority w:val="9"/>
    <w:rPr>
      <w:rFonts w:asciiTheme="majorHAnsi" w:hAnsiTheme="majorHAnsi" w:eastAsiaTheme="majorEastAsia" w:cstheme="majorBidi"/>
      <w:b/>
      <w:bCs/>
      <w:sz w:val="28"/>
      <w:szCs w:val="28"/>
    </w:rPr>
  </w:style>
  <w:style w:type="character" w:customStyle="1" w:styleId="46">
    <w:name w:val="标题 5 字符"/>
    <w:basedOn w:val="35"/>
    <w:semiHidden/>
    <w:qFormat/>
    <w:uiPriority w:val="9"/>
    <w:rPr>
      <w:rFonts w:ascii="Tahoma" w:hAnsi="Tahoma"/>
      <w:b/>
      <w:bCs/>
      <w:sz w:val="28"/>
      <w:szCs w:val="28"/>
    </w:rPr>
  </w:style>
  <w:style w:type="character" w:customStyle="1" w:styleId="47">
    <w:name w:val="标题 6 字符"/>
    <w:basedOn w:val="35"/>
    <w:semiHidden/>
    <w:qFormat/>
    <w:uiPriority w:val="9"/>
    <w:rPr>
      <w:rFonts w:asciiTheme="majorHAnsi" w:hAnsiTheme="majorHAnsi" w:eastAsiaTheme="majorEastAsia" w:cstheme="majorBidi"/>
      <w:b/>
      <w:bCs/>
      <w:sz w:val="24"/>
      <w:szCs w:val="24"/>
    </w:rPr>
  </w:style>
  <w:style w:type="character" w:customStyle="1" w:styleId="48">
    <w:name w:val="标题 7 字符"/>
    <w:basedOn w:val="35"/>
    <w:semiHidden/>
    <w:qFormat/>
    <w:uiPriority w:val="9"/>
    <w:rPr>
      <w:rFonts w:ascii="Tahoma" w:hAnsi="Tahoma"/>
      <w:b/>
      <w:bCs/>
      <w:sz w:val="24"/>
      <w:szCs w:val="24"/>
    </w:rPr>
  </w:style>
  <w:style w:type="character" w:customStyle="1" w:styleId="49">
    <w:name w:val="标题 8 字符"/>
    <w:basedOn w:val="35"/>
    <w:semiHidden/>
    <w:qFormat/>
    <w:uiPriority w:val="9"/>
    <w:rPr>
      <w:rFonts w:asciiTheme="majorHAnsi" w:hAnsiTheme="majorHAnsi" w:eastAsiaTheme="majorEastAsia" w:cstheme="majorBidi"/>
      <w:sz w:val="24"/>
      <w:szCs w:val="24"/>
    </w:rPr>
  </w:style>
  <w:style w:type="character" w:customStyle="1" w:styleId="50">
    <w:name w:val="标题 9 字符"/>
    <w:basedOn w:val="35"/>
    <w:semiHidden/>
    <w:qFormat/>
    <w:uiPriority w:val="9"/>
    <w:rPr>
      <w:rFonts w:asciiTheme="majorHAnsi" w:hAnsiTheme="majorHAnsi" w:eastAsiaTheme="majorEastAsia" w:cstheme="majorBidi"/>
      <w:sz w:val="21"/>
      <w:szCs w:val="21"/>
    </w:rPr>
  </w:style>
  <w:style w:type="character" w:customStyle="1" w:styleId="51">
    <w:name w:val="标题 1 Char"/>
    <w:link w:val="4"/>
    <w:qFormat/>
    <w:uiPriority w:val="0"/>
    <w:rPr>
      <w:rFonts w:ascii="Tahoma" w:hAnsi="Tahoma" w:eastAsia="宋体" w:cs="Times New Roman"/>
      <w:b/>
      <w:bCs/>
      <w:kern w:val="44"/>
      <w:sz w:val="44"/>
      <w:szCs w:val="44"/>
      <w:lang w:val="zh-CN" w:eastAsia="zh-CN"/>
    </w:rPr>
  </w:style>
  <w:style w:type="character" w:customStyle="1" w:styleId="52">
    <w:name w:val="正文缩进 Char"/>
    <w:link w:val="7"/>
    <w:qFormat/>
    <w:uiPriority w:val="0"/>
    <w:rPr>
      <w:rFonts w:ascii="Times New Roman" w:hAnsi="Times New Roman" w:eastAsia="宋体" w:cs="Times New Roman"/>
      <w:sz w:val="21"/>
      <w:szCs w:val="20"/>
    </w:rPr>
  </w:style>
  <w:style w:type="character" w:customStyle="1" w:styleId="53">
    <w:name w:val="标题 2 Char"/>
    <w:link w:val="6"/>
    <w:qFormat/>
    <w:uiPriority w:val="0"/>
    <w:rPr>
      <w:rFonts w:ascii="宋体" w:hAnsi="Arial" w:eastAsia="宋体" w:cs="Times New Roman"/>
      <w:kern w:val="2"/>
      <w:sz w:val="32"/>
      <w:szCs w:val="20"/>
      <w:lang w:val="zh-CN" w:eastAsia="zh-CN"/>
    </w:rPr>
  </w:style>
  <w:style w:type="character" w:customStyle="1" w:styleId="54">
    <w:name w:val="标题 3 Char"/>
    <w:link w:val="5"/>
    <w:qFormat/>
    <w:uiPriority w:val="0"/>
    <w:rPr>
      <w:rFonts w:ascii="宋体" w:hAnsi="Tahoma" w:eastAsia="宋体" w:cs="Times New Roman"/>
      <w:kern w:val="2"/>
      <w:sz w:val="21"/>
      <w:szCs w:val="20"/>
      <w:lang w:val="zh-CN" w:eastAsia="zh-CN"/>
    </w:rPr>
  </w:style>
  <w:style w:type="character" w:customStyle="1" w:styleId="55">
    <w:name w:val="标题 4 Char"/>
    <w:link w:val="8"/>
    <w:qFormat/>
    <w:uiPriority w:val="0"/>
    <w:rPr>
      <w:rFonts w:ascii="宋体" w:hAnsi="Arial" w:eastAsia="宋体" w:cs="Times New Roman"/>
      <w:color w:val="000000"/>
      <w:kern w:val="2"/>
      <w:sz w:val="21"/>
      <w:szCs w:val="20"/>
      <w:lang w:val="zh-CN" w:eastAsia="zh-CN"/>
    </w:rPr>
  </w:style>
  <w:style w:type="character" w:customStyle="1" w:styleId="56">
    <w:name w:val="标题 5 Char"/>
    <w:link w:val="9"/>
    <w:qFormat/>
    <w:uiPriority w:val="0"/>
    <w:rPr>
      <w:rFonts w:ascii="宋体" w:hAnsi="Tahoma" w:eastAsia="宋体" w:cs="Times New Roman"/>
      <w:b/>
      <w:color w:val="000000"/>
      <w:kern w:val="2"/>
      <w:sz w:val="28"/>
      <w:szCs w:val="20"/>
      <w:lang w:val="zh-CN" w:eastAsia="zh-CN"/>
    </w:rPr>
  </w:style>
  <w:style w:type="character" w:customStyle="1" w:styleId="57">
    <w:name w:val="标题 6 Char"/>
    <w:link w:val="10"/>
    <w:qFormat/>
    <w:uiPriority w:val="0"/>
    <w:rPr>
      <w:rFonts w:ascii="Arial" w:hAnsi="Arial" w:eastAsia="黑体" w:cs="Times New Roman"/>
      <w:b/>
      <w:color w:val="000000"/>
      <w:kern w:val="2"/>
      <w:sz w:val="24"/>
      <w:szCs w:val="20"/>
      <w:lang w:val="zh-CN" w:eastAsia="zh-CN"/>
    </w:rPr>
  </w:style>
  <w:style w:type="character" w:customStyle="1" w:styleId="58">
    <w:name w:val="标题 7 Char"/>
    <w:link w:val="11"/>
    <w:qFormat/>
    <w:uiPriority w:val="0"/>
    <w:rPr>
      <w:rFonts w:ascii="宋体" w:hAnsi="Tahoma" w:eastAsia="宋体" w:cs="Times New Roman"/>
      <w:b/>
      <w:color w:val="000000"/>
      <w:kern w:val="2"/>
      <w:sz w:val="24"/>
      <w:szCs w:val="20"/>
      <w:lang w:val="zh-CN" w:eastAsia="zh-CN"/>
    </w:rPr>
  </w:style>
  <w:style w:type="character" w:customStyle="1" w:styleId="59">
    <w:name w:val="标题 8 Char"/>
    <w:link w:val="12"/>
    <w:qFormat/>
    <w:uiPriority w:val="0"/>
    <w:rPr>
      <w:rFonts w:ascii="Arial" w:hAnsi="Arial" w:eastAsia="黑体" w:cs="Times New Roman"/>
      <w:color w:val="000000"/>
      <w:kern w:val="2"/>
      <w:sz w:val="24"/>
      <w:szCs w:val="20"/>
      <w:lang w:val="zh-CN" w:eastAsia="zh-CN"/>
    </w:rPr>
  </w:style>
  <w:style w:type="character" w:customStyle="1" w:styleId="60">
    <w:name w:val="标题 9 Char"/>
    <w:link w:val="13"/>
    <w:qFormat/>
    <w:uiPriority w:val="0"/>
    <w:rPr>
      <w:rFonts w:ascii="Arial" w:hAnsi="Arial" w:eastAsia="黑体" w:cs="Times New Roman"/>
      <w:color w:val="000000"/>
      <w:kern w:val="2"/>
      <w:sz w:val="21"/>
      <w:szCs w:val="20"/>
      <w:lang w:val="zh-CN" w:eastAsia="zh-CN"/>
    </w:rPr>
  </w:style>
  <w:style w:type="paragraph" w:customStyle="1" w:styleId="61">
    <w:name w:val="_Style 34"/>
    <w:basedOn w:val="1"/>
    <w:next w:val="62"/>
    <w:qFormat/>
    <w:uiPriority w:val="34"/>
    <w:pPr>
      <w:adjustRightInd/>
      <w:snapToGrid/>
      <w:spacing w:after="0"/>
      <w:ind w:firstLine="420" w:firstLineChars="200"/>
    </w:pPr>
    <w:rPr>
      <w:rFonts w:ascii="Calibri" w:hAnsi="Calibri" w:eastAsia="宋体" w:cs="Times New Roman"/>
      <w:sz w:val="21"/>
      <w:szCs w:val="20"/>
    </w:rPr>
  </w:style>
  <w:style w:type="paragraph" w:styleId="62">
    <w:name w:val="List Paragraph"/>
    <w:basedOn w:val="1"/>
    <w:qFormat/>
    <w:uiPriority w:val="34"/>
    <w:pPr>
      <w:ind w:firstLine="420" w:firstLineChars="200"/>
    </w:pPr>
  </w:style>
  <w:style w:type="character" w:customStyle="1" w:styleId="63">
    <w:name w:val="文档结构图 Char"/>
    <w:link w:val="15"/>
    <w:qFormat/>
    <w:uiPriority w:val="0"/>
    <w:rPr>
      <w:rFonts w:ascii="宋体" w:hAnsi="Tahoma"/>
      <w:kern w:val="2"/>
      <w:sz w:val="18"/>
      <w:szCs w:val="18"/>
    </w:rPr>
  </w:style>
  <w:style w:type="character" w:customStyle="1" w:styleId="64">
    <w:name w:val="文档结构图 字符"/>
    <w:basedOn w:val="35"/>
    <w:semiHidden/>
    <w:qFormat/>
    <w:uiPriority w:val="99"/>
    <w:rPr>
      <w:rFonts w:ascii="Microsoft YaHei UI" w:hAnsi="Tahoma" w:eastAsia="Microsoft YaHei UI"/>
      <w:sz w:val="18"/>
      <w:szCs w:val="18"/>
    </w:rPr>
  </w:style>
  <w:style w:type="character" w:customStyle="1" w:styleId="65">
    <w:name w:val="批注主题 Char"/>
    <w:link w:val="31"/>
    <w:qFormat/>
    <w:uiPriority w:val="99"/>
    <w:rPr>
      <w:b/>
      <w:bCs/>
      <w:kern w:val="2"/>
      <w:sz w:val="21"/>
      <w:szCs w:val="24"/>
    </w:rPr>
  </w:style>
  <w:style w:type="character" w:customStyle="1" w:styleId="66">
    <w:name w:val="批注文字 Char2"/>
    <w:basedOn w:val="35"/>
    <w:link w:val="16"/>
    <w:semiHidden/>
    <w:qFormat/>
    <w:uiPriority w:val="99"/>
    <w:rPr>
      <w:rFonts w:ascii="Tahoma" w:hAnsi="Tahoma"/>
    </w:rPr>
  </w:style>
  <w:style w:type="character" w:customStyle="1" w:styleId="67">
    <w:name w:val="批注主题 字符"/>
    <w:basedOn w:val="66"/>
    <w:semiHidden/>
    <w:qFormat/>
    <w:uiPriority w:val="99"/>
    <w:rPr>
      <w:rFonts w:ascii="Tahoma" w:hAnsi="Tahoma"/>
      <w:b/>
      <w:bCs/>
    </w:rPr>
  </w:style>
  <w:style w:type="character" w:customStyle="1" w:styleId="68">
    <w:name w:val="批注文字 Char"/>
    <w:qFormat/>
    <w:uiPriority w:val="99"/>
    <w:rPr>
      <w:kern w:val="2"/>
      <w:sz w:val="21"/>
      <w:szCs w:val="24"/>
    </w:rPr>
  </w:style>
  <w:style w:type="character" w:customStyle="1" w:styleId="69">
    <w:name w:val="正文首行缩进 Char"/>
    <w:basedOn w:val="70"/>
    <w:link w:val="2"/>
    <w:qFormat/>
    <w:uiPriority w:val="0"/>
    <w:rPr>
      <w:rFonts w:ascii="Tahoma" w:hAnsi="Tahoma"/>
      <w:kern w:val="2"/>
      <w:sz w:val="21"/>
    </w:rPr>
  </w:style>
  <w:style w:type="character" w:customStyle="1" w:styleId="70">
    <w:name w:val="正文文本 Char"/>
    <w:link w:val="3"/>
    <w:qFormat/>
    <w:uiPriority w:val="0"/>
    <w:rPr>
      <w:rFonts w:ascii="Tahoma" w:hAnsi="Tahoma"/>
      <w:kern w:val="2"/>
      <w:sz w:val="21"/>
    </w:rPr>
  </w:style>
  <w:style w:type="character" w:customStyle="1" w:styleId="71">
    <w:name w:val="正文文本 字符"/>
    <w:basedOn w:val="35"/>
    <w:semiHidden/>
    <w:qFormat/>
    <w:uiPriority w:val="99"/>
    <w:rPr>
      <w:rFonts w:ascii="Tahoma" w:hAnsi="Tahoma"/>
    </w:rPr>
  </w:style>
  <w:style w:type="character" w:customStyle="1" w:styleId="72">
    <w:name w:val="批注文字 Char1"/>
    <w:qFormat/>
    <w:uiPriority w:val="0"/>
    <w:rPr>
      <w:rFonts w:ascii="Tahoma" w:hAnsi="Tahoma"/>
      <w:kern w:val="2"/>
      <w:sz w:val="21"/>
    </w:rPr>
  </w:style>
  <w:style w:type="character" w:customStyle="1" w:styleId="73">
    <w:name w:val="正文（首行缩进两字） Char"/>
    <w:qFormat/>
    <w:uiPriority w:val="0"/>
    <w:rPr>
      <w:rFonts w:eastAsia="宋体"/>
      <w:sz w:val="21"/>
      <w:lang w:val="en-US" w:eastAsia="zh-CN" w:bidi="ar-SA"/>
    </w:rPr>
  </w:style>
  <w:style w:type="character" w:customStyle="1" w:styleId="74">
    <w:name w:val="p141"/>
    <w:qFormat/>
    <w:uiPriority w:val="0"/>
    <w:rPr>
      <w:sz w:val="21"/>
      <w:szCs w:val="21"/>
    </w:rPr>
  </w:style>
  <w:style w:type="character" w:customStyle="1" w:styleId="75">
    <w:name w:val="批注框文本 Char"/>
    <w:link w:val="22"/>
    <w:qFormat/>
    <w:uiPriority w:val="0"/>
    <w:rPr>
      <w:rFonts w:eastAsia="宋体"/>
      <w:sz w:val="18"/>
      <w:szCs w:val="18"/>
    </w:rPr>
  </w:style>
  <w:style w:type="character" w:customStyle="1" w:styleId="76">
    <w:name w:val="批注框文本 字符"/>
    <w:basedOn w:val="35"/>
    <w:semiHidden/>
    <w:qFormat/>
    <w:uiPriority w:val="99"/>
    <w:rPr>
      <w:rFonts w:ascii="Tahoma" w:hAnsi="Tahoma"/>
      <w:sz w:val="18"/>
      <w:szCs w:val="18"/>
    </w:rPr>
  </w:style>
  <w:style w:type="character" w:customStyle="1" w:styleId="77">
    <w:name w:val="wf1"/>
    <w:qFormat/>
    <w:uiPriority w:val="0"/>
    <w:rPr>
      <w:rFonts w:hint="eastAsia" w:ascii="宋体" w:hAnsi="宋体" w:eastAsia="宋体"/>
      <w:sz w:val="24"/>
      <w:szCs w:val="24"/>
    </w:rPr>
  </w:style>
  <w:style w:type="character" w:customStyle="1" w:styleId="78">
    <w:name w:val="纯文本 Char"/>
    <w:link w:val="19"/>
    <w:qFormat/>
    <w:locked/>
    <w:uiPriority w:val="0"/>
    <w:rPr>
      <w:rFonts w:ascii="宋体" w:hAnsi="Courier New" w:cs="Courier New"/>
      <w:sz w:val="21"/>
      <w:szCs w:val="21"/>
    </w:rPr>
  </w:style>
  <w:style w:type="character" w:customStyle="1" w:styleId="79">
    <w:name w:val="纯文本 字符"/>
    <w:basedOn w:val="35"/>
    <w:semiHidden/>
    <w:qFormat/>
    <w:uiPriority w:val="99"/>
    <w:rPr>
      <w:rFonts w:hAnsi="Courier New" w:cs="Courier New" w:asciiTheme="minorEastAsia" w:eastAsiaTheme="minorEastAsia"/>
    </w:rPr>
  </w:style>
  <w:style w:type="character" w:customStyle="1" w:styleId="80">
    <w:name w:val="ll1"/>
    <w:qFormat/>
    <w:uiPriority w:val="0"/>
    <w:rPr>
      <w:spacing w:val="31680"/>
    </w:rPr>
  </w:style>
  <w:style w:type="character" w:customStyle="1" w:styleId="81">
    <w:name w:val="正文文本缩进 3 字符"/>
    <w:basedOn w:val="35"/>
    <w:semiHidden/>
    <w:qFormat/>
    <w:uiPriority w:val="99"/>
    <w:rPr>
      <w:rFonts w:ascii="Tahoma" w:hAnsi="Tahoma"/>
      <w:sz w:val="16"/>
      <w:szCs w:val="16"/>
    </w:rPr>
  </w:style>
  <w:style w:type="character" w:customStyle="1" w:styleId="82">
    <w:name w:val="正文文本缩进 3 Char"/>
    <w:link w:val="26"/>
    <w:qFormat/>
    <w:uiPriority w:val="0"/>
    <w:rPr>
      <w:rFonts w:ascii="Tahoma" w:hAnsi="Tahoma" w:eastAsia="宋体" w:cs="Times New Roman"/>
      <w:kern w:val="2"/>
      <w:sz w:val="16"/>
      <w:szCs w:val="16"/>
      <w:lang w:val="zh-CN" w:eastAsia="zh-CN"/>
    </w:rPr>
  </w:style>
  <w:style w:type="character" w:customStyle="1" w:styleId="83">
    <w:name w:val="正文文本缩进 2 字符"/>
    <w:basedOn w:val="35"/>
    <w:semiHidden/>
    <w:qFormat/>
    <w:uiPriority w:val="99"/>
    <w:rPr>
      <w:rFonts w:ascii="Tahoma" w:hAnsi="Tahoma"/>
    </w:rPr>
  </w:style>
  <w:style w:type="character" w:customStyle="1" w:styleId="84">
    <w:name w:val="正文文本缩进 2 Char"/>
    <w:link w:val="21"/>
    <w:qFormat/>
    <w:uiPriority w:val="0"/>
    <w:rPr>
      <w:rFonts w:ascii="Tahoma" w:hAnsi="Tahoma" w:eastAsia="宋体" w:cs="Times New Roman"/>
      <w:kern w:val="2"/>
      <w:sz w:val="21"/>
      <w:szCs w:val="20"/>
      <w:lang w:val="zh-CN" w:eastAsia="zh-CN"/>
    </w:rPr>
  </w:style>
  <w:style w:type="character" w:customStyle="1" w:styleId="85">
    <w:name w:val="日期 字符"/>
    <w:basedOn w:val="35"/>
    <w:semiHidden/>
    <w:qFormat/>
    <w:uiPriority w:val="99"/>
    <w:rPr>
      <w:rFonts w:ascii="Tahoma" w:hAnsi="Tahoma"/>
    </w:rPr>
  </w:style>
  <w:style w:type="character" w:customStyle="1" w:styleId="86">
    <w:name w:val="日期 Char"/>
    <w:link w:val="20"/>
    <w:qFormat/>
    <w:uiPriority w:val="0"/>
    <w:rPr>
      <w:rFonts w:ascii="楷体_GB2312" w:hAnsi="Tahoma" w:eastAsia="楷体_GB2312" w:cs="Times New Roman"/>
      <w:kern w:val="2"/>
      <w:sz w:val="28"/>
      <w:szCs w:val="20"/>
      <w:lang w:val="zh-CN" w:eastAsia="zh-CN"/>
    </w:rPr>
  </w:style>
  <w:style w:type="character" w:customStyle="1" w:styleId="87">
    <w:name w:val="正文文本缩进 字符"/>
    <w:basedOn w:val="35"/>
    <w:semiHidden/>
    <w:qFormat/>
    <w:uiPriority w:val="99"/>
    <w:rPr>
      <w:rFonts w:ascii="Tahoma" w:hAnsi="Tahoma"/>
    </w:rPr>
  </w:style>
  <w:style w:type="character" w:customStyle="1" w:styleId="88">
    <w:name w:val="正文文本缩进 Char"/>
    <w:link w:val="18"/>
    <w:qFormat/>
    <w:uiPriority w:val="0"/>
    <w:rPr>
      <w:rFonts w:ascii="Tahoma" w:hAnsi="Tahoma" w:eastAsia="宋体" w:cs="Times New Roman"/>
      <w:kern w:val="2"/>
      <w:sz w:val="21"/>
      <w:szCs w:val="20"/>
      <w:lang w:val="zh-CN" w:eastAsia="zh-CN"/>
    </w:rPr>
  </w:style>
  <w:style w:type="character" w:customStyle="1" w:styleId="89">
    <w:name w:val="HTML 预设格式 字符"/>
    <w:basedOn w:val="35"/>
    <w:semiHidden/>
    <w:qFormat/>
    <w:uiPriority w:val="99"/>
    <w:rPr>
      <w:rFonts w:ascii="Courier New" w:hAnsi="Courier New" w:cs="Courier New"/>
      <w:sz w:val="20"/>
      <w:szCs w:val="20"/>
    </w:rPr>
  </w:style>
  <w:style w:type="character" w:customStyle="1" w:styleId="90">
    <w:name w:val="HTML 预设格式 Char"/>
    <w:link w:val="28"/>
    <w:qFormat/>
    <w:uiPriority w:val="0"/>
    <w:rPr>
      <w:rFonts w:ascii="黑体" w:hAnsi="Courier New" w:eastAsia="黑体" w:cs="Times New Roman"/>
      <w:kern w:val="2"/>
      <w:sz w:val="24"/>
      <w:szCs w:val="21"/>
      <w:lang w:val="zh-CN" w:eastAsia="zh-CN"/>
    </w:rPr>
  </w:style>
  <w:style w:type="character" w:customStyle="1" w:styleId="91">
    <w:name w:val="正文文本 3 字符"/>
    <w:basedOn w:val="35"/>
    <w:semiHidden/>
    <w:qFormat/>
    <w:uiPriority w:val="99"/>
    <w:rPr>
      <w:rFonts w:ascii="Tahoma" w:hAnsi="Tahoma"/>
      <w:sz w:val="16"/>
      <w:szCs w:val="16"/>
    </w:rPr>
  </w:style>
  <w:style w:type="character" w:customStyle="1" w:styleId="92">
    <w:name w:val="正文文本 3 Char"/>
    <w:link w:val="17"/>
    <w:qFormat/>
    <w:uiPriority w:val="0"/>
    <w:rPr>
      <w:rFonts w:ascii="Tahoma" w:hAnsi="Tahoma" w:eastAsia="宋体" w:cs="Times New Roman"/>
      <w:kern w:val="2"/>
      <w:sz w:val="16"/>
      <w:szCs w:val="16"/>
      <w:lang w:val="zh-CN" w:eastAsia="zh-CN"/>
    </w:rPr>
  </w:style>
  <w:style w:type="character" w:customStyle="1" w:styleId="93">
    <w:name w:val="页脚 字符"/>
    <w:basedOn w:val="35"/>
    <w:semiHidden/>
    <w:qFormat/>
    <w:uiPriority w:val="99"/>
    <w:rPr>
      <w:rFonts w:ascii="Tahoma" w:hAnsi="Tahoma"/>
      <w:sz w:val="18"/>
      <w:szCs w:val="18"/>
    </w:rPr>
  </w:style>
  <w:style w:type="character" w:customStyle="1" w:styleId="94">
    <w:name w:val="页脚 Char"/>
    <w:link w:val="23"/>
    <w:qFormat/>
    <w:uiPriority w:val="0"/>
    <w:rPr>
      <w:rFonts w:ascii="Tahoma" w:hAnsi="Tahoma" w:eastAsia="宋体" w:cs="Times New Roman"/>
      <w:kern w:val="2"/>
      <w:sz w:val="18"/>
      <w:szCs w:val="20"/>
      <w:lang w:val="zh-CN" w:eastAsia="zh-CN"/>
    </w:rPr>
  </w:style>
  <w:style w:type="character" w:customStyle="1" w:styleId="95">
    <w:name w:val="页眉 字符"/>
    <w:basedOn w:val="35"/>
    <w:semiHidden/>
    <w:qFormat/>
    <w:uiPriority w:val="99"/>
    <w:rPr>
      <w:rFonts w:ascii="Tahoma" w:hAnsi="Tahoma"/>
      <w:sz w:val="18"/>
      <w:szCs w:val="18"/>
    </w:rPr>
  </w:style>
  <w:style w:type="character" w:customStyle="1" w:styleId="96">
    <w:name w:val="页眉 Char"/>
    <w:link w:val="24"/>
    <w:qFormat/>
    <w:uiPriority w:val="0"/>
    <w:rPr>
      <w:rFonts w:ascii="Tahoma" w:hAnsi="Tahoma" w:eastAsia="宋体" w:cs="Times New Roman"/>
      <w:kern w:val="2"/>
      <w:sz w:val="18"/>
      <w:szCs w:val="20"/>
      <w:lang w:val="zh-CN" w:eastAsia="zh-CN"/>
    </w:rPr>
  </w:style>
  <w:style w:type="character" w:customStyle="1" w:styleId="97">
    <w:name w:val="正文文本 2 字符"/>
    <w:basedOn w:val="35"/>
    <w:semiHidden/>
    <w:qFormat/>
    <w:uiPriority w:val="99"/>
    <w:rPr>
      <w:rFonts w:ascii="Tahoma" w:hAnsi="Tahoma"/>
    </w:rPr>
  </w:style>
  <w:style w:type="character" w:customStyle="1" w:styleId="98">
    <w:name w:val="正文文本 2 Char"/>
    <w:link w:val="27"/>
    <w:qFormat/>
    <w:uiPriority w:val="0"/>
    <w:rPr>
      <w:rFonts w:ascii="Tahoma" w:hAnsi="Tahoma" w:eastAsia="宋体" w:cs="Times New Roman"/>
      <w:kern w:val="2"/>
      <w:sz w:val="21"/>
      <w:szCs w:val="20"/>
      <w:lang w:val="zh-CN" w:eastAsia="zh-CN"/>
    </w:rPr>
  </w:style>
  <w:style w:type="paragraph" w:customStyle="1" w:styleId="99">
    <w:name w:val="xl4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00">
    <w:name w:val="xl36"/>
    <w:basedOn w:val="1"/>
    <w:qFormat/>
    <w:uiPriority w:val="0"/>
    <w:pPr>
      <w:pBdr>
        <w:top w:val="single" w:color="auto" w:sz="4" w:space="0"/>
        <w:left w:val="single" w:color="auto" w:sz="4" w:space="0"/>
        <w:bottom w:val="single" w:color="auto" w:sz="8"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01">
    <w:name w:val="Char Char Char Char Char Char1 Char Char Char Char"/>
    <w:basedOn w:val="1"/>
    <w:qFormat/>
    <w:uiPriority w:val="0"/>
    <w:pPr>
      <w:tabs>
        <w:tab w:val="left" w:pos="360"/>
      </w:tabs>
      <w:adjustRightInd/>
      <w:snapToGrid/>
      <w:spacing w:after="160" w:line="240" w:lineRule="exact"/>
    </w:pPr>
    <w:rPr>
      <w:rFonts w:ascii="Times New Roman" w:hAnsi="Times New Roman" w:eastAsia="宋体" w:cs="Times New Roman"/>
      <w:kern w:val="2"/>
      <w:sz w:val="24"/>
      <w:szCs w:val="24"/>
    </w:rPr>
  </w:style>
  <w:style w:type="paragraph" w:customStyle="1" w:styleId="102">
    <w:name w:val="TOC 标题1"/>
    <w:basedOn w:val="4"/>
    <w:next w:val="1"/>
    <w:qFormat/>
    <w:uiPriority w:val="39"/>
    <w:pPr>
      <w:spacing w:before="480" w:after="0" w:line="276" w:lineRule="auto"/>
      <w:outlineLvl w:val="9"/>
    </w:pPr>
    <w:rPr>
      <w:rFonts w:ascii="Cambria" w:hAnsi="Cambria"/>
      <w:color w:val="365F91"/>
      <w:kern w:val="0"/>
      <w:sz w:val="28"/>
      <w:szCs w:val="28"/>
    </w:rPr>
  </w:style>
  <w:style w:type="paragraph" w:customStyle="1" w:styleId="103">
    <w:name w:val="xl44"/>
    <w:basedOn w:val="1"/>
    <w:qFormat/>
    <w:uiPriority w:val="0"/>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04">
    <w:name w:val="Char Char Char Char Char1 Char"/>
    <w:basedOn w:val="1"/>
    <w:qFormat/>
    <w:uiPriority w:val="0"/>
    <w:pPr>
      <w:widowControl w:val="0"/>
      <w:adjustRightInd/>
      <w:snapToGrid/>
      <w:spacing w:after="0"/>
      <w:jc w:val="both"/>
    </w:pPr>
    <w:rPr>
      <w:rFonts w:eastAsia="宋体" w:cs="Times New Roman"/>
      <w:kern w:val="2"/>
      <w:sz w:val="24"/>
      <w:szCs w:val="20"/>
    </w:rPr>
  </w:style>
  <w:style w:type="paragraph" w:customStyle="1" w:styleId="105">
    <w:name w:val="xl46"/>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06">
    <w:name w:val="xl48"/>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07">
    <w:name w:val="修订1"/>
    <w:semiHidden/>
    <w:qFormat/>
    <w:uiPriority w:val="99"/>
    <w:rPr>
      <w:rFonts w:ascii="Times New Roman" w:hAnsi="Times New Roman" w:eastAsia="宋体" w:cs="Times New Roman"/>
      <w:sz w:val="21"/>
      <w:lang w:val="en-US" w:eastAsia="zh-CN" w:bidi="ar-SA"/>
    </w:rPr>
  </w:style>
  <w:style w:type="paragraph" w:customStyle="1" w:styleId="108">
    <w:name w:val="xl28"/>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sz w:val="24"/>
      <w:szCs w:val="24"/>
    </w:rPr>
  </w:style>
  <w:style w:type="paragraph" w:customStyle="1" w:styleId="109">
    <w:name w:val="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110">
    <w:name w:val="xl45"/>
    <w:basedOn w:val="1"/>
    <w:qFormat/>
    <w:uiPriority w:val="0"/>
    <w:pPr>
      <w:pBdr>
        <w:top w:val="single" w:color="auto" w:sz="8" w:space="0"/>
        <w:left w:val="single" w:color="auto" w:sz="4" w:space="0"/>
        <w:bottom w:val="single" w:color="auto" w:sz="4" w:space="0"/>
        <w:right w:val="single" w:color="auto" w:sz="8"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11">
    <w:name w:val="font0"/>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12">
    <w:name w:val="xl42"/>
    <w:basedOn w:val="1"/>
    <w:qFormat/>
    <w:uiPriority w:val="0"/>
    <w:pPr>
      <w:adjustRightInd/>
      <w:snapToGrid/>
      <w:spacing w:before="100" w:beforeAutospacing="1" w:after="100" w:afterAutospacing="1"/>
      <w:textAlignment w:val="top"/>
    </w:pPr>
    <w:rPr>
      <w:rFonts w:ascii="宋体" w:hAnsi="宋体" w:eastAsia="宋体" w:cs="宋体"/>
      <w:sz w:val="24"/>
      <w:szCs w:val="24"/>
    </w:rPr>
  </w:style>
  <w:style w:type="paragraph" w:customStyle="1" w:styleId="113">
    <w:name w:val="f10"/>
    <w:basedOn w:val="1"/>
    <w:qFormat/>
    <w:uiPriority w:val="0"/>
    <w:pPr>
      <w:adjustRightInd/>
      <w:snapToGrid/>
      <w:spacing w:before="100" w:beforeAutospacing="1" w:after="100" w:afterAutospacing="1" w:line="260" w:lineRule="atLeast"/>
    </w:pPr>
    <w:rPr>
      <w:rFonts w:ascii="_GB2312" w:hAnsi="_GB2312" w:eastAsia="宋体" w:cs="Times New Roman"/>
      <w:color w:val="000000"/>
      <w:sz w:val="18"/>
      <w:szCs w:val="18"/>
    </w:rPr>
  </w:style>
  <w:style w:type="paragraph" w:customStyle="1" w:styleId="114">
    <w:name w:val="xl38"/>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pPr>
    <w:rPr>
      <w:rFonts w:ascii="Times New Roman" w:hAnsi="Times New Roman" w:eastAsia="宋体" w:cs="Times New Roman"/>
      <w:sz w:val="24"/>
      <w:szCs w:val="24"/>
    </w:rPr>
  </w:style>
  <w:style w:type="paragraph" w:customStyle="1" w:styleId="115">
    <w:name w:val="样式1"/>
    <w:basedOn w:val="6"/>
    <w:qFormat/>
    <w:uiPriority w:val="0"/>
    <w:pPr>
      <w:tabs>
        <w:tab w:val="left" w:pos="420"/>
      </w:tabs>
      <w:ind w:left="420" w:hanging="420"/>
    </w:pPr>
    <w:rPr>
      <w:b/>
    </w:rPr>
  </w:style>
  <w:style w:type="paragraph" w:customStyle="1" w:styleId="116">
    <w:name w:val="Char"/>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117">
    <w:name w:val="130"/>
    <w:basedOn w:val="1"/>
    <w:qFormat/>
    <w:uiPriority w:val="0"/>
    <w:pPr>
      <w:adjustRightInd/>
      <w:snapToGrid/>
      <w:spacing w:before="100" w:beforeAutospacing="1" w:after="100" w:afterAutospacing="1" w:line="324" w:lineRule="auto"/>
    </w:pPr>
    <w:rPr>
      <w:rFonts w:ascii="宋体" w:hAnsi="宋体" w:eastAsia="宋体" w:cs="Times New Roman"/>
      <w:color w:val="000000"/>
      <w:sz w:val="24"/>
      <w:szCs w:val="24"/>
    </w:rPr>
  </w:style>
  <w:style w:type="paragraph" w:customStyle="1" w:styleId="118">
    <w:name w:val="f14"/>
    <w:basedOn w:val="1"/>
    <w:qFormat/>
    <w:uiPriority w:val="0"/>
    <w:pPr>
      <w:adjustRightInd/>
      <w:snapToGrid/>
      <w:spacing w:before="100" w:beforeAutospacing="1" w:after="100" w:afterAutospacing="1"/>
    </w:pPr>
    <w:rPr>
      <w:rFonts w:ascii="_GB2312" w:hAnsi="_GB2312" w:eastAsia="宋体" w:cs="Times New Roman"/>
      <w:color w:val="000000"/>
      <w:sz w:val="28"/>
      <w:szCs w:val="28"/>
    </w:rPr>
  </w:style>
  <w:style w:type="paragraph" w:customStyle="1" w:styleId="119">
    <w:name w:val="xl37"/>
    <w:basedOn w:val="1"/>
    <w:qFormat/>
    <w:uiPriority w:val="0"/>
    <w:pPr>
      <w:pBdr>
        <w:top w:val="single" w:color="auto" w:sz="4" w:space="0"/>
        <w:left w:val="single" w:color="auto" w:sz="4" w:space="0"/>
        <w:bottom w:val="single" w:color="auto" w:sz="8" w:space="0"/>
        <w:right w:val="single" w:color="auto" w:sz="8" w:space="0"/>
      </w:pBdr>
      <w:adjustRightInd/>
      <w:snapToGrid/>
      <w:spacing w:before="100" w:beforeAutospacing="1" w:after="100" w:afterAutospacing="1"/>
    </w:pPr>
    <w:rPr>
      <w:rFonts w:ascii="宋体" w:hAnsi="宋体" w:eastAsia="宋体" w:cs="宋体"/>
      <w:sz w:val="24"/>
      <w:szCs w:val="24"/>
    </w:rPr>
  </w:style>
  <w:style w:type="paragraph" w:customStyle="1" w:styleId="120">
    <w:name w:val="Char Char1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121">
    <w:name w:val="Char1 Char"/>
    <w:basedOn w:val="1"/>
    <w:qFormat/>
    <w:uiPriority w:val="0"/>
    <w:pPr>
      <w:widowControl w:val="0"/>
      <w:numPr>
        <w:ilvl w:val="0"/>
        <w:numId w:val="1"/>
      </w:numPr>
      <w:adjustRightInd/>
      <w:snapToGrid/>
      <w:spacing w:after="0"/>
      <w:jc w:val="both"/>
    </w:pPr>
    <w:rPr>
      <w:rFonts w:ascii="Times New Roman" w:hAnsi="Times New Roman" w:eastAsia="宋体" w:cs="Times New Roman"/>
      <w:kern w:val="2"/>
      <w:sz w:val="24"/>
      <w:szCs w:val="24"/>
    </w:rPr>
  </w:style>
  <w:style w:type="paragraph" w:customStyle="1" w:styleId="122">
    <w:name w:val="1"/>
    <w:basedOn w:val="1"/>
    <w:next w:val="19"/>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123">
    <w:name w:val="135"/>
    <w:basedOn w:val="1"/>
    <w:qFormat/>
    <w:uiPriority w:val="0"/>
    <w:pPr>
      <w:adjustRightInd/>
      <w:snapToGrid/>
      <w:spacing w:before="100" w:beforeAutospacing="1" w:after="100" w:afterAutospacing="1" w:line="360" w:lineRule="auto"/>
    </w:pPr>
    <w:rPr>
      <w:rFonts w:ascii="宋体" w:hAnsi="宋体" w:eastAsia="宋体" w:cs="Times New Roman"/>
      <w:color w:val="000000"/>
      <w:sz w:val="24"/>
      <w:szCs w:val="24"/>
    </w:rPr>
  </w:style>
  <w:style w:type="paragraph" w:customStyle="1" w:styleId="124">
    <w:name w:val="Char Char1 Char Char Char Char Char Char Char Char Char Char1"/>
    <w:basedOn w:val="1"/>
    <w:qFormat/>
    <w:uiPriority w:val="0"/>
    <w:pPr>
      <w:widowControl w:val="0"/>
      <w:adjustRightInd/>
      <w:snapToGrid/>
      <w:spacing w:after="0"/>
      <w:jc w:val="both"/>
    </w:pPr>
    <w:rPr>
      <w:rFonts w:eastAsia="宋体" w:cs="Times New Roman"/>
      <w:kern w:val="2"/>
      <w:sz w:val="24"/>
      <w:szCs w:val="20"/>
    </w:rPr>
  </w:style>
  <w:style w:type="paragraph" w:customStyle="1" w:styleId="125">
    <w:name w:val="正文缩近"/>
    <w:basedOn w:val="1"/>
    <w:qFormat/>
    <w:uiPriority w:val="0"/>
    <w:pPr>
      <w:widowControl w:val="0"/>
      <w:adjustRightInd/>
      <w:snapToGrid/>
      <w:spacing w:after="0" w:line="360" w:lineRule="auto"/>
      <w:ind w:firstLine="200" w:firstLineChars="200"/>
      <w:jc w:val="both"/>
    </w:pPr>
    <w:rPr>
      <w:rFonts w:ascii="Times New Roman" w:hAnsi="Times New Roman" w:eastAsia="宋体" w:cs="Times New Roman"/>
      <w:kern w:val="2"/>
      <w:sz w:val="24"/>
      <w:szCs w:val="24"/>
    </w:rPr>
  </w:style>
  <w:style w:type="paragraph" w:customStyle="1" w:styleId="126">
    <w:name w:val="xl40"/>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27">
    <w:name w:val="xl26"/>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128">
    <w:name w:val="xl35"/>
    <w:basedOn w:val="1"/>
    <w:qFormat/>
    <w:uiPriority w:val="0"/>
    <w:pPr>
      <w:pBdr>
        <w:top w:val="single" w:color="auto" w:sz="4" w:space="0"/>
        <w:left w:val="single" w:color="auto" w:sz="4"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129">
    <w:name w:val="需求书2"/>
    <w:basedOn w:val="1"/>
    <w:qFormat/>
    <w:uiPriority w:val="0"/>
    <w:pPr>
      <w:widowControl w:val="0"/>
      <w:adjustRightInd/>
      <w:snapToGrid/>
      <w:spacing w:after="0"/>
      <w:jc w:val="both"/>
    </w:pPr>
    <w:rPr>
      <w:rFonts w:ascii="宋体" w:hAnsi="宋体" w:eastAsia="宋体" w:cs="Times New Roman"/>
      <w:b/>
      <w:spacing w:val="10"/>
      <w:kern w:val="2"/>
      <w:sz w:val="24"/>
      <w:szCs w:val="24"/>
    </w:rPr>
  </w:style>
  <w:style w:type="paragraph" w:customStyle="1" w:styleId="130">
    <w:name w:val="Char111"/>
    <w:basedOn w:val="1"/>
    <w:qFormat/>
    <w:uiPriority w:val="0"/>
    <w:pPr>
      <w:widowControl w:val="0"/>
      <w:adjustRightInd/>
      <w:snapToGrid/>
      <w:spacing w:after="0"/>
      <w:jc w:val="both"/>
    </w:pPr>
    <w:rPr>
      <w:rFonts w:eastAsia="宋体" w:cs="Times New Roman"/>
      <w:kern w:val="2"/>
      <w:sz w:val="24"/>
      <w:szCs w:val="20"/>
    </w:rPr>
  </w:style>
  <w:style w:type="paragraph" w:customStyle="1" w:styleId="131">
    <w:name w:val="150"/>
    <w:basedOn w:val="1"/>
    <w:qFormat/>
    <w:uiPriority w:val="0"/>
    <w:pPr>
      <w:adjustRightInd/>
      <w:snapToGrid/>
      <w:spacing w:before="100" w:beforeAutospacing="1" w:after="100" w:afterAutospacing="1" w:line="360" w:lineRule="auto"/>
    </w:pPr>
    <w:rPr>
      <w:rFonts w:ascii="宋体" w:hAnsi="宋体" w:eastAsia="宋体" w:cs="Times New Roman"/>
      <w:color w:val="000000"/>
      <w:sz w:val="24"/>
      <w:szCs w:val="24"/>
    </w:rPr>
  </w:style>
  <w:style w:type="paragraph" w:customStyle="1" w:styleId="132">
    <w:name w:val="图"/>
    <w:basedOn w:val="1"/>
    <w:qFormat/>
    <w:uiPriority w:val="0"/>
    <w:pPr>
      <w:keepNext/>
      <w:widowControl w:val="0"/>
      <w:snapToGrid/>
      <w:spacing w:before="60" w:after="60" w:line="300" w:lineRule="auto"/>
      <w:jc w:val="center"/>
      <w:textAlignment w:val="center"/>
    </w:pPr>
    <w:rPr>
      <w:rFonts w:ascii="Times New Roman" w:hAnsi="Times New Roman" w:eastAsia="宋体" w:cs="Times New Roman"/>
      <w:snapToGrid w:val="0"/>
      <w:spacing w:val="20"/>
      <w:sz w:val="24"/>
      <w:szCs w:val="20"/>
    </w:rPr>
  </w:style>
  <w:style w:type="paragraph" w:customStyle="1" w:styleId="133">
    <w:name w:val="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134">
    <w:name w:val="xl2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135">
    <w:name w:val="font8"/>
    <w:basedOn w:val="1"/>
    <w:qFormat/>
    <w:uiPriority w:val="0"/>
    <w:pPr>
      <w:adjustRightInd/>
      <w:snapToGrid/>
      <w:spacing w:before="100" w:beforeAutospacing="1" w:after="100" w:afterAutospacing="1"/>
    </w:pPr>
    <w:rPr>
      <w:rFonts w:ascii="Times New Roman" w:hAnsi="Times New Roman" w:eastAsia="宋体" w:cs="Times New Roman"/>
      <w:b/>
      <w:bCs/>
      <w:sz w:val="36"/>
      <w:szCs w:val="36"/>
    </w:rPr>
  </w:style>
  <w:style w:type="paragraph" w:customStyle="1" w:styleId="136">
    <w:name w:val="xl31"/>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pPr>
    <w:rPr>
      <w:rFonts w:ascii="宋体" w:hAnsi="宋体" w:eastAsia="宋体" w:cs="宋体"/>
      <w:sz w:val="24"/>
      <w:szCs w:val="24"/>
    </w:rPr>
  </w:style>
  <w:style w:type="paragraph" w:customStyle="1" w:styleId="137">
    <w:name w:val="c03"/>
    <w:basedOn w:val="1"/>
    <w:qFormat/>
    <w:uiPriority w:val="0"/>
    <w:pPr>
      <w:adjustRightInd/>
      <w:snapToGrid/>
      <w:spacing w:before="100" w:beforeAutospacing="1" w:after="100" w:afterAutospacing="1"/>
    </w:pPr>
    <w:rPr>
      <w:rFonts w:ascii="宋体" w:hAnsi="宋体" w:eastAsia="宋体" w:cs="Times New Roman"/>
      <w:color w:val="000000"/>
      <w:sz w:val="24"/>
      <w:szCs w:val="24"/>
    </w:rPr>
  </w:style>
  <w:style w:type="paragraph" w:customStyle="1" w:styleId="138">
    <w:name w:val="xl24"/>
    <w:basedOn w:val="1"/>
    <w:qFormat/>
    <w:uiPriority w:val="0"/>
    <w:pPr>
      <w:adjustRightInd/>
      <w:snapToGrid/>
      <w:spacing w:before="100" w:beforeAutospacing="1" w:after="100" w:afterAutospacing="1"/>
      <w:jc w:val="center"/>
    </w:pPr>
    <w:rPr>
      <w:rFonts w:ascii="宋体" w:hAnsi="宋体" w:eastAsia="宋体" w:cs="宋体"/>
      <w:sz w:val="24"/>
      <w:szCs w:val="24"/>
    </w:rPr>
  </w:style>
  <w:style w:type="paragraph" w:customStyle="1" w:styleId="139">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40">
    <w:name w:val="f12"/>
    <w:basedOn w:val="1"/>
    <w:qFormat/>
    <w:uiPriority w:val="0"/>
    <w:pPr>
      <w:adjustRightInd/>
      <w:snapToGrid/>
      <w:spacing w:before="100" w:beforeAutospacing="1" w:after="100" w:afterAutospacing="1"/>
    </w:pPr>
    <w:rPr>
      <w:rFonts w:ascii="_GB2312" w:hAnsi="_GB2312" w:eastAsia="宋体" w:cs="Times New Roman"/>
      <w:color w:val="000000"/>
      <w:sz w:val="21"/>
      <w:szCs w:val="21"/>
    </w:rPr>
  </w:style>
  <w:style w:type="paragraph" w:customStyle="1" w:styleId="141">
    <w:name w:val="xl25"/>
    <w:basedOn w:val="1"/>
    <w:qFormat/>
    <w:uiPriority w:val="0"/>
    <w:pPr>
      <w:adjustRightInd/>
      <w:snapToGrid/>
      <w:spacing w:before="100" w:beforeAutospacing="1" w:after="100" w:afterAutospacing="1"/>
      <w:jc w:val="right"/>
    </w:pPr>
    <w:rPr>
      <w:rFonts w:ascii="Times New Roman" w:hAnsi="Times New Roman" w:eastAsia="宋体" w:cs="Times New Roman"/>
      <w:sz w:val="24"/>
      <w:szCs w:val="24"/>
    </w:rPr>
  </w:style>
  <w:style w:type="paragraph" w:customStyle="1" w:styleId="142">
    <w:name w:val="font7"/>
    <w:basedOn w:val="1"/>
    <w:qFormat/>
    <w:uiPriority w:val="0"/>
    <w:pPr>
      <w:adjustRightInd/>
      <w:snapToGrid/>
      <w:spacing w:before="100" w:beforeAutospacing="1" w:after="100" w:afterAutospacing="1"/>
    </w:pPr>
    <w:rPr>
      <w:rFonts w:ascii="宋体" w:hAnsi="宋体" w:eastAsia="宋体" w:cs="宋体"/>
      <w:b/>
      <w:bCs/>
      <w:sz w:val="36"/>
      <w:szCs w:val="36"/>
    </w:rPr>
  </w:style>
  <w:style w:type="paragraph" w:customStyle="1" w:styleId="143">
    <w:name w:val="xl4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144">
    <w:name w:val="xl39"/>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textAlignment w:val="top"/>
    </w:pPr>
    <w:rPr>
      <w:rFonts w:ascii="宋体" w:hAnsi="宋体" w:eastAsia="宋体" w:cs="宋体"/>
      <w:sz w:val="24"/>
      <w:szCs w:val="24"/>
    </w:rPr>
  </w:style>
  <w:style w:type="paragraph" w:customStyle="1" w:styleId="145">
    <w:name w:val="f11"/>
    <w:basedOn w:val="1"/>
    <w:qFormat/>
    <w:uiPriority w:val="0"/>
    <w:pPr>
      <w:adjustRightInd/>
      <w:snapToGrid/>
      <w:spacing w:before="100" w:beforeAutospacing="1" w:after="100" w:afterAutospacing="1" w:line="320" w:lineRule="atLeast"/>
    </w:pPr>
    <w:rPr>
      <w:rFonts w:ascii="_GB2312" w:hAnsi="_GB2312" w:eastAsia="宋体" w:cs="Times New Roman"/>
      <w:color w:val="000000"/>
      <w:sz w:val="28"/>
      <w:szCs w:val="28"/>
    </w:rPr>
  </w:style>
  <w:style w:type="paragraph" w:customStyle="1" w:styleId="146">
    <w:name w:val="font6"/>
    <w:basedOn w:val="1"/>
    <w:qFormat/>
    <w:uiPriority w:val="0"/>
    <w:pPr>
      <w:adjustRightInd/>
      <w:snapToGrid/>
      <w:spacing w:before="100" w:beforeAutospacing="1" w:after="100" w:afterAutospacing="1"/>
    </w:pPr>
    <w:rPr>
      <w:rFonts w:ascii="Times New Roman" w:hAnsi="Times New Roman" w:eastAsia="宋体" w:cs="Times New Roman"/>
      <w:sz w:val="24"/>
      <w:szCs w:val="24"/>
    </w:rPr>
  </w:style>
  <w:style w:type="paragraph" w:customStyle="1" w:styleId="147">
    <w:name w:val="xl3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sz w:val="24"/>
      <w:szCs w:val="24"/>
    </w:rPr>
  </w:style>
  <w:style w:type="paragraph" w:customStyle="1" w:styleId="148">
    <w:name w:val="xl3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49">
    <w:name w:val="xl41"/>
    <w:basedOn w:val="1"/>
    <w:qFormat/>
    <w:uiPriority w:val="0"/>
    <w:pPr>
      <w:pBdr>
        <w:top w:val="single" w:color="auto" w:sz="4" w:space="0"/>
        <w:left w:val="single" w:color="auto" w:sz="8" w:space="0"/>
        <w:bottom w:val="single" w:color="auto" w:sz="8"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50">
    <w:name w:val="xl2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51">
    <w:name w:val="Char1"/>
    <w:basedOn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152">
    <w:name w:val="Char Char Char Char"/>
    <w:basedOn w:val="1"/>
    <w:qFormat/>
    <w:uiPriority w:val="0"/>
    <w:pPr>
      <w:numPr>
        <w:ilvl w:val="0"/>
        <w:numId w:val="2"/>
      </w:numPr>
      <w:tabs>
        <w:tab w:val="left" w:pos="965"/>
      </w:tabs>
      <w:adjustRightInd/>
      <w:snapToGrid/>
      <w:spacing w:after="160" w:line="240" w:lineRule="exact"/>
    </w:pPr>
    <w:rPr>
      <w:rFonts w:ascii="Verdana" w:hAnsi="Verdana" w:eastAsia="宋体" w:cs="Times New Roman"/>
      <w:sz w:val="21"/>
      <w:szCs w:val="20"/>
      <w:lang w:eastAsia="en-US"/>
    </w:rPr>
  </w:style>
  <w:style w:type="paragraph" w:customStyle="1" w:styleId="153">
    <w:name w:val="f12pt1"/>
    <w:basedOn w:val="1"/>
    <w:qFormat/>
    <w:uiPriority w:val="0"/>
    <w:pPr>
      <w:adjustRightInd/>
      <w:snapToGrid/>
      <w:spacing w:before="100" w:beforeAutospacing="1" w:after="100" w:afterAutospacing="1"/>
    </w:pPr>
    <w:rPr>
      <w:rFonts w:ascii="_GB2312" w:hAnsi="_GB2312" w:eastAsia="宋体" w:cs="Times New Roman"/>
      <w:color w:val="000000"/>
      <w:sz w:val="21"/>
      <w:szCs w:val="21"/>
    </w:rPr>
  </w:style>
  <w:style w:type="paragraph" w:customStyle="1" w:styleId="154">
    <w:name w:val="font5"/>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155">
    <w:name w:val="xl33"/>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pPr>
    <w:rPr>
      <w:rFonts w:ascii="宋体" w:hAnsi="宋体" w:eastAsia="宋体" w:cs="宋体"/>
      <w:sz w:val="24"/>
      <w:szCs w:val="24"/>
    </w:rPr>
  </w:style>
  <w:style w:type="paragraph" w:customStyle="1" w:styleId="156">
    <w:name w:val="Char Char Char Char Char Char Char Char Char Char11"/>
    <w:basedOn w:val="1"/>
    <w:qFormat/>
    <w:uiPriority w:val="0"/>
    <w:pPr>
      <w:widowControl w:val="0"/>
      <w:adjustRightInd/>
      <w:snapToGrid/>
      <w:spacing w:after="0"/>
      <w:jc w:val="both"/>
    </w:pPr>
    <w:rPr>
      <w:rFonts w:eastAsia="宋体" w:cs="Times New Roman"/>
      <w:kern w:val="2"/>
      <w:sz w:val="24"/>
      <w:szCs w:val="20"/>
    </w:rPr>
  </w:style>
  <w:style w:type="paragraph" w:customStyle="1" w:styleId="157">
    <w:name w:val="xl34"/>
    <w:basedOn w:val="1"/>
    <w:qFormat/>
    <w:uiPriority w:val="0"/>
    <w:pPr>
      <w:pBdr>
        <w:top w:val="single" w:color="auto" w:sz="4" w:space="0"/>
        <w:left w:val="single" w:color="auto" w:sz="4" w:space="0"/>
        <w:bottom w:val="single" w:color="auto" w:sz="8"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58">
    <w:name w:val="xl43"/>
    <w:basedOn w:val="1"/>
    <w:qFormat/>
    <w:uiPriority w:val="0"/>
    <w:pPr>
      <w:pBdr>
        <w:top w:val="single" w:color="auto" w:sz="8" w:space="0"/>
        <w:left w:val="single" w:color="auto" w:sz="8"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5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Char11"/>
    <w:basedOn w:val="1"/>
    <w:qFormat/>
    <w:uiPriority w:val="0"/>
    <w:pPr>
      <w:widowControl w:val="0"/>
      <w:adjustRightInd/>
      <w:snapToGrid/>
      <w:spacing w:after="0"/>
      <w:jc w:val="both"/>
    </w:pPr>
    <w:rPr>
      <w:rFonts w:eastAsia="宋体" w:cs="Times New Roman"/>
      <w:kern w:val="2"/>
      <w:sz w:val="24"/>
      <w:szCs w:val="20"/>
    </w:rPr>
  </w:style>
  <w:style w:type="paragraph" w:customStyle="1" w:styleId="161">
    <w:name w:val="样式"/>
    <w:basedOn w:val="1"/>
    <w:next w:val="18"/>
    <w:qFormat/>
    <w:uiPriority w:val="0"/>
    <w:pPr>
      <w:widowControl w:val="0"/>
      <w:adjustRightInd/>
      <w:snapToGrid/>
      <w:spacing w:after="0"/>
      <w:jc w:val="center"/>
    </w:pPr>
    <w:rPr>
      <w:rFonts w:ascii="宋体" w:hAnsi="宋体" w:eastAsia="宋体" w:cs="宋体"/>
      <w:color w:val="FF0000"/>
      <w:kern w:val="2"/>
      <w:sz w:val="24"/>
      <w:szCs w:val="24"/>
    </w:rPr>
  </w:style>
  <w:style w:type="paragraph" w:customStyle="1" w:styleId="162">
    <w:name w:val="Char Char Char Char Char Char Char Char Char Char1"/>
    <w:basedOn w:val="1"/>
    <w:qFormat/>
    <w:uiPriority w:val="0"/>
    <w:pPr>
      <w:widowControl w:val="0"/>
      <w:adjustRightInd/>
      <w:snapToGrid/>
      <w:spacing w:after="0"/>
      <w:jc w:val="both"/>
    </w:pPr>
    <w:rPr>
      <w:rFonts w:eastAsia="宋体" w:cs="Times New Roman"/>
      <w:kern w:val="2"/>
      <w:sz w:val="24"/>
      <w:szCs w:val="20"/>
    </w:rPr>
  </w:style>
  <w:style w:type="paragraph" w:customStyle="1" w:styleId="163">
    <w:name w:val="Char Char Char Char Char1 Char1"/>
    <w:basedOn w:val="1"/>
    <w:qFormat/>
    <w:uiPriority w:val="0"/>
    <w:pPr>
      <w:widowControl w:val="0"/>
      <w:adjustRightInd/>
      <w:snapToGrid/>
      <w:spacing w:after="0"/>
      <w:jc w:val="both"/>
    </w:pPr>
    <w:rPr>
      <w:rFonts w:eastAsia="宋体" w:cs="Times New Roman"/>
      <w:kern w:val="2"/>
      <w:sz w:val="24"/>
      <w:szCs w:val="20"/>
    </w:rPr>
  </w:style>
  <w:style w:type="paragraph" w:customStyle="1" w:styleId="164">
    <w:name w:val="Char12"/>
    <w:basedOn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165">
    <w:name w:val="题注5"/>
    <w:basedOn w:val="1"/>
    <w:next w:val="14"/>
    <w:qFormat/>
    <w:uiPriority w:val="0"/>
    <w:pPr>
      <w:widowControl w:val="0"/>
      <w:tabs>
        <w:tab w:val="left" w:pos="2100"/>
      </w:tabs>
      <w:adjustRightInd/>
      <w:snapToGrid/>
      <w:spacing w:after="0" w:line="360" w:lineRule="auto"/>
      <w:ind w:left="720" w:hanging="420"/>
      <w:jc w:val="both"/>
    </w:pPr>
    <w:rPr>
      <w:rFonts w:ascii="Times New Roman" w:hAnsi="Times New Roman" w:eastAsia="宋体" w:cs="Times New Roman"/>
      <w:b/>
      <w:color w:val="000000"/>
      <w:kern w:val="2"/>
      <w:sz w:val="28"/>
      <w:szCs w:val="28"/>
    </w:rPr>
  </w:style>
  <w:style w:type="paragraph" w:customStyle="1" w:styleId="166">
    <w:name w:val="Char Char Char Char1"/>
    <w:basedOn w:val="1"/>
    <w:qFormat/>
    <w:uiPriority w:val="0"/>
    <w:pPr>
      <w:adjustRightInd/>
      <w:snapToGrid/>
      <w:spacing w:after="160" w:line="240" w:lineRule="exact"/>
      <w:ind w:left="425" w:hanging="425"/>
    </w:pPr>
    <w:rPr>
      <w:rFonts w:ascii="Verdana" w:hAnsi="Verdana" w:eastAsia="宋体" w:cs="Times New Roman"/>
      <w:sz w:val="21"/>
      <w:szCs w:val="20"/>
      <w:lang w:eastAsia="en-US"/>
    </w:rPr>
  </w:style>
  <w:style w:type="paragraph" w:customStyle="1" w:styleId="167">
    <w:name w:val="4"/>
    <w:basedOn w:val="1"/>
    <w:qFormat/>
    <w:uiPriority w:val="0"/>
    <w:pPr>
      <w:widowControl w:val="0"/>
      <w:adjustRightInd/>
      <w:snapToGrid/>
      <w:spacing w:after="0"/>
      <w:jc w:val="both"/>
    </w:pPr>
    <w:rPr>
      <w:rFonts w:eastAsia="宋体" w:cs="Times New Roman"/>
      <w:kern w:val="2"/>
      <w:sz w:val="24"/>
      <w:szCs w:val="20"/>
    </w:rPr>
  </w:style>
  <w:style w:type="paragraph" w:customStyle="1" w:styleId="168">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9">
    <w:name w:val="纯文本_2_0"/>
    <w:basedOn w:val="1"/>
    <w:link w:val="170"/>
    <w:qFormat/>
    <w:uiPriority w:val="0"/>
    <w:pPr>
      <w:adjustRightInd/>
      <w:snapToGrid/>
      <w:spacing w:after="0"/>
    </w:pPr>
    <w:rPr>
      <w:rFonts w:ascii="宋体" w:hAnsi="Courier New" w:eastAsia="宋体" w:cs="Times New Roman"/>
      <w:sz w:val="21"/>
      <w:szCs w:val="21"/>
      <w:lang w:val="zh-CN"/>
    </w:rPr>
  </w:style>
  <w:style w:type="character" w:customStyle="1" w:styleId="170">
    <w:name w:val="纯文本 Char_2_0"/>
    <w:link w:val="169"/>
    <w:qFormat/>
    <w:uiPriority w:val="0"/>
    <w:rPr>
      <w:rFonts w:ascii="宋体" w:hAnsi="Courier New" w:eastAsia="宋体" w:cs="Times New Roman"/>
      <w:sz w:val="21"/>
      <w:szCs w:val="21"/>
      <w:lang w:val="zh-CN" w:eastAsia="zh-CN"/>
    </w:rPr>
  </w:style>
  <w:style w:type="paragraph" w:customStyle="1" w:styleId="171">
    <w:name w:val="正文_8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2">
    <w:name w:val="正文文本首行缩进 字符"/>
    <w:basedOn w:val="71"/>
    <w:semiHidden/>
    <w:qFormat/>
    <w:uiPriority w:val="99"/>
    <w:rPr>
      <w:rFonts w:ascii="Tahoma" w:hAnsi="Tahoma"/>
    </w:rPr>
  </w:style>
  <w:style w:type="character" w:customStyle="1" w:styleId="173">
    <w:name w:val="xdrichtextbox2"/>
    <w:qFormat/>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13645</Words>
  <Characters>20237</Characters>
  <Lines>174</Lines>
  <Paragraphs>49</Paragraphs>
  <TotalTime>1</TotalTime>
  <ScaleCrop>false</ScaleCrop>
  <LinksUpToDate>false</LinksUpToDate>
  <CharactersWithSpaces>20572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2022-05-27T09:40:46Z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551543A85E204CECB97AE4029DEAC2C1</vt:lpwstr>
  </property>
</Properties>
</file>